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08AD3" w14:textId="77777777" w:rsidR="00B746DA" w:rsidRDefault="00B746DA" w:rsidP="00C14C72">
      <w:pPr>
        <w:pStyle w:val="NormalWeb"/>
        <w:rPr>
          <w:rFonts w:ascii="Arial" w:hAnsi="Arial" w:cs="Arial"/>
          <w:b/>
          <w:bCs/>
          <w:sz w:val="18"/>
          <w:szCs w:val="18"/>
          <w:lang w:val="es-ES"/>
        </w:rPr>
      </w:pPr>
    </w:p>
    <w:p w14:paraId="1CD8197B" w14:textId="17BB1542" w:rsidR="00C13F34" w:rsidRDefault="00C13F34" w:rsidP="00CC6449">
      <w:pPr>
        <w:jc w:val="center"/>
        <w:rPr>
          <w:rFonts w:ascii="Arial" w:hAnsi="Arial" w:cs="Arial"/>
          <w:b/>
          <w:bCs/>
          <w:lang w:val="es-ES"/>
        </w:rPr>
      </w:pPr>
    </w:p>
    <w:p w14:paraId="36E1F60B" w14:textId="62D4C5F4" w:rsidR="005008EF" w:rsidRDefault="005008EF" w:rsidP="00BF0598">
      <w:pPr>
        <w:jc w:val="center"/>
        <w:rPr>
          <w:rFonts w:ascii="Arial" w:hAnsi="Arial" w:cs="Arial"/>
          <w:b/>
          <w:bCs/>
          <w:lang w:val="es-ES"/>
        </w:rPr>
      </w:pPr>
    </w:p>
    <w:p w14:paraId="5978741E" w14:textId="4D495E75" w:rsidR="00EC0A72" w:rsidRPr="007B759F" w:rsidRDefault="007B759F" w:rsidP="007B759F">
      <w:pPr>
        <w:jc w:val="center"/>
        <w:rPr>
          <w:rFonts w:ascii="Arial" w:hAnsi="Arial" w:cs="Arial"/>
          <w:lang w:val="es-ES"/>
        </w:rPr>
      </w:pPr>
      <w:r w:rsidRPr="007B759F">
        <w:rPr>
          <w:rFonts w:ascii="Arial" w:hAnsi="Arial" w:cs="Arial"/>
          <w:b/>
          <w:bCs/>
          <w:sz w:val="28"/>
          <w:szCs w:val="28"/>
          <w:lang w:val="es-ES"/>
        </w:rPr>
        <w:t xml:space="preserve">Hollyland lanza </w:t>
      </w:r>
      <w:proofErr w:type="spellStart"/>
      <w:r w:rsidRPr="007B759F">
        <w:rPr>
          <w:rFonts w:ascii="Arial" w:hAnsi="Arial" w:cs="Arial"/>
          <w:b/>
          <w:bCs/>
          <w:sz w:val="28"/>
          <w:szCs w:val="28"/>
          <w:lang w:val="es-ES"/>
        </w:rPr>
        <w:t>Pyro</w:t>
      </w:r>
      <w:proofErr w:type="spellEnd"/>
      <w:r w:rsidRPr="007B759F">
        <w:rPr>
          <w:rFonts w:ascii="Arial" w:hAnsi="Arial" w:cs="Arial"/>
          <w:b/>
          <w:bCs/>
          <w:sz w:val="28"/>
          <w:szCs w:val="28"/>
          <w:lang w:val="es-ES"/>
        </w:rPr>
        <w:t xml:space="preserve"> 5 4K, simplificando las configuraciones en el set y mejorando la eficiencia de producción</w:t>
      </w:r>
    </w:p>
    <w:p w14:paraId="20DE4309" w14:textId="77777777" w:rsidR="007B759F" w:rsidRDefault="007B759F" w:rsidP="0072471E">
      <w:pPr>
        <w:jc w:val="right"/>
        <w:rPr>
          <w:rFonts w:ascii="Arial" w:hAnsi="Arial" w:cs="Arial"/>
          <w:lang w:val="es-ES"/>
        </w:rPr>
      </w:pPr>
    </w:p>
    <w:p w14:paraId="3B783697" w14:textId="61E2ECDB" w:rsidR="00B31D12" w:rsidRDefault="00B31D12" w:rsidP="0072471E">
      <w:pPr>
        <w:jc w:val="right"/>
        <w:rPr>
          <w:rFonts w:ascii="Arial" w:hAnsi="Arial" w:cs="Arial"/>
          <w:lang w:val="es-ES"/>
        </w:rPr>
      </w:pPr>
      <w:r>
        <w:rPr>
          <w:rFonts w:ascii="Arial" w:hAnsi="Arial" w:cs="Arial"/>
          <w:lang w:val="es-ES"/>
        </w:rPr>
        <w:t xml:space="preserve">Madrid </w:t>
      </w:r>
      <w:r w:rsidR="007B759F">
        <w:rPr>
          <w:rFonts w:ascii="Arial" w:hAnsi="Arial" w:cs="Arial"/>
          <w:lang w:val="es-ES"/>
        </w:rPr>
        <w:t>22</w:t>
      </w:r>
      <w:r>
        <w:rPr>
          <w:rFonts w:ascii="Arial" w:hAnsi="Arial" w:cs="Arial"/>
          <w:lang w:val="es-ES"/>
        </w:rPr>
        <w:t xml:space="preserve"> de </w:t>
      </w:r>
      <w:r w:rsidR="00EC0A72">
        <w:rPr>
          <w:rFonts w:ascii="Arial" w:hAnsi="Arial" w:cs="Arial"/>
          <w:lang w:val="es-ES"/>
        </w:rPr>
        <w:t>julio</w:t>
      </w:r>
      <w:r w:rsidR="0072471E">
        <w:rPr>
          <w:rFonts w:ascii="Arial" w:hAnsi="Arial" w:cs="Arial"/>
          <w:lang w:val="es-ES"/>
        </w:rPr>
        <w:t xml:space="preserve"> de 2026</w:t>
      </w:r>
    </w:p>
    <w:p w14:paraId="32E5A9D5" w14:textId="77777777" w:rsidR="0072471E" w:rsidRPr="00B31D12" w:rsidRDefault="0072471E" w:rsidP="00B31D12">
      <w:pPr>
        <w:jc w:val="both"/>
        <w:rPr>
          <w:rFonts w:ascii="Arial" w:hAnsi="Arial" w:cs="Arial"/>
          <w:lang w:val="es-ES"/>
        </w:rPr>
      </w:pPr>
    </w:p>
    <w:p w14:paraId="143AD422" w14:textId="77777777" w:rsidR="00E27029" w:rsidRDefault="00E27029" w:rsidP="00E27029">
      <w:pPr>
        <w:jc w:val="both"/>
        <w:rPr>
          <w:rFonts w:ascii="Arial" w:hAnsi="Arial" w:cs="Arial"/>
          <w:lang w:val="es-ES"/>
        </w:rPr>
      </w:pPr>
      <w:r w:rsidRPr="00E27029">
        <w:rPr>
          <w:rFonts w:ascii="Arial" w:hAnsi="Arial" w:cs="Arial"/>
          <w:lang w:val="es-ES"/>
        </w:rPr>
        <w:t xml:space="preserve">Hollyland, proveedor global de soluciones profesionales de audio y vídeo inalámbricos, ha presentado oficialmente el </w:t>
      </w:r>
      <w:proofErr w:type="spellStart"/>
      <w:r w:rsidRPr="00E27029">
        <w:rPr>
          <w:rFonts w:ascii="Arial" w:hAnsi="Arial" w:cs="Arial"/>
          <w:b/>
          <w:bCs/>
          <w:lang w:val="es-ES"/>
        </w:rPr>
        <w:t>Pyro</w:t>
      </w:r>
      <w:proofErr w:type="spellEnd"/>
      <w:r w:rsidRPr="00E27029">
        <w:rPr>
          <w:rFonts w:ascii="Arial" w:hAnsi="Arial" w:cs="Arial"/>
          <w:b/>
          <w:bCs/>
          <w:lang w:val="es-ES"/>
        </w:rPr>
        <w:t xml:space="preserve"> 5 4K</w:t>
      </w:r>
      <w:r w:rsidRPr="00E27029">
        <w:rPr>
          <w:rFonts w:ascii="Arial" w:hAnsi="Arial" w:cs="Arial"/>
          <w:lang w:val="es-ES"/>
        </w:rPr>
        <w:t xml:space="preserve">, la última incorporación a su gama de sistemas de transmisión inalámbrica </w:t>
      </w:r>
      <w:proofErr w:type="spellStart"/>
      <w:r w:rsidRPr="00E27029">
        <w:rPr>
          <w:rFonts w:ascii="Arial" w:hAnsi="Arial" w:cs="Arial"/>
          <w:lang w:val="es-ES"/>
        </w:rPr>
        <w:t>Pyro</w:t>
      </w:r>
      <w:proofErr w:type="spellEnd"/>
      <w:r w:rsidRPr="00E27029">
        <w:rPr>
          <w:rFonts w:ascii="Arial" w:hAnsi="Arial" w:cs="Arial"/>
          <w:lang w:val="es-ES"/>
        </w:rPr>
        <w:t xml:space="preserve">. Basado en el </w:t>
      </w:r>
      <w:proofErr w:type="spellStart"/>
      <w:r w:rsidRPr="00E27029">
        <w:rPr>
          <w:rFonts w:ascii="Arial" w:hAnsi="Arial" w:cs="Arial"/>
          <w:lang w:val="es-ES"/>
        </w:rPr>
        <w:t>Pyro</w:t>
      </w:r>
      <w:proofErr w:type="spellEnd"/>
      <w:r w:rsidRPr="00E27029">
        <w:rPr>
          <w:rFonts w:ascii="Arial" w:hAnsi="Arial" w:cs="Arial"/>
          <w:lang w:val="es-ES"/>
        </w:rPr>
        <w:t xml:space="preserve"> 5, este nuevo monitor inalámbrico incorpora tres importantes mejoras: transmisión inalámbrica 4K30 de extremo a extremo, compatibilidad con control directo de cámara en un mayor número de modelos y la nueva función </w:t>
      </w:r>
      <w:proofErr w:type="spellStart"/>
      <w:r w:rsidRPr="00E27029">
        <w:rPr>
          <w:rFonts w:ascii="Arial" w:hAnsi="Arial" w:cs="Arial"/>
          <w:b/>
          <w:bCs/>
          <w:lang w:val="es-ES"/>
        </w:rPr>
        <w:t>Image</w:t>
      </w:r>
      <w:proofErr w:type="spellEnd"/>
      <w:r w:rsidRPr="00E27029">
        <w:rPr>
          <w:rFonts w:ascii="Arial" w:hAnsi="Arial" w:cs="Arial"/>
          <w:b/>
          <w:bCs/>
          <w:lang w:val="es-ES"/>
        </w:rPr>
        <w:t xml:space="preserve"> </w:t>
      </w:r>
      <w:proofErr w:type="spellStart"/>
      <w:r w:rsidRPr="00E27029">
        <w:rPr>
          <w:rFonts w:ascii="Arial" w:hAnsi="Arial" w:cs="Arial"/>
          <w:b/>
          <w:bCs/>
          <w:lang w:val="es-ES"/>
        </w:rPr>
        <w:t>Overlay</w:t>
      </w:r>
      <w:proofErr w:type="spellEnd"/>
      <w:r w:rsidRPr="00E27029">
        <w:rPr>
          <w:rFonts w:ascii="Arial" w:hAnsi="Arial" w:cs="Arial"/>
          <w:lang w:val="es-ES"/>
        </w:rPr>
        <w:t>.</w:t>
      </w:r>
    </w:p>
    <w:p w14:paraId="363AF8B6" w14:textId="77777777" w:rsidR="00E27029" w:rsidRPr="00E27029" w:rsidRDefault="00E27029" w:rsidP="00E27029">
      <w:pPr>
        <w:jc w:val="both"/>
        <w:rPr>
          <w:rFonts w:ascii="Arial" w:hAnsi="Arial" w:cs="Arial"/>
          <w:lang w:val="es-ES"/>
        </w:rPr>
      </w:pPr>
    </w:p>
    <w:p w14:paraId="2FE8CD81" w14:textId="77777777" w:rsidR="00E27029" w:rsidRDefault="00E27029" w:rsidP="00E27029">
      <w:pPr>
        <w:jc w:val="both"/>
        <w:rPr>
          <w:rFonts w:ascii="Arial" w:hAnsi="Arial" w:cs="Arial"/>
          <w:lang w:val="es-ES"/>
        </w:rPr>
      </w:pPr>
      <w:r w:rsidRPr="00E27029">
        <w:rPr>
          <w:rFonts w:ascii="Arial" w:hAnsi="Arial" w:cs="Arial"/>
          <w:lang w:val="es-ES"/>
        </w:rPr>
        <w:t xml:space="preserve">Tradicionalmente, las producciones profesionales han dependido de sistemas independientes de transmisión inalámbrica y monitores de campo, lo que requiere más equipos, cableado y tiempo de configuración. Diseñado para ser mucho más que un monitor, el </w:t>
      </w:r>
      <w:proofErr w:type="spellStart"/>
      <w:r w:rsidRPr="00E27029">
        <w:rPr>
          <w:rFonts w:ascii="Arial" w:hAnsi="Arial" w:cs="Arial"/>
          <w:b/>
          <w:bCs/>
          <w:lang w:val="es-ES"/>
        </w:rPr>
        <w:t>Pyro</w:t>
      </w:r>
      <w:proofErr w:type="spellEnd"/>
      <w:r w:rsidRPr="00E27029">
        <w:rPr>
          <w:rFonts w:ascii="Arial" w:hAnsi="Arial" w:cs="Arial"/>
          <w:b/>
          <w:bCs/>
          <w:lang w:val="es-ES"/>
        </w:rPr>
        <w:t xml:space="preserve"> 5 4K</w:t>
      </w:r>
      <w:r w:rsidRPr="00E27029">
        <w:rPr>
          <w:rFonts w:ascii="Arial" w:hAnsi="Arial" w:cs="Arial"/>
          <w:lang w:val="es-ES"/>
        </w:rPr>
        <w:t xml:space="preserve"> optimiza este flujo de trabajo al integrar múltiples herramientas de producción en una única solución compacta, ayudando a cineastas, </w:t>
      </w:r>
      <w:proofErr w:type="spellStart"/>
      <w:r w:rsidRPr="00E27029">
        <w:rPr>
          <w:rFonts w:ascii="Arial" w:hAnsi="Arial" w:cs="Arial"/>
          <w:lang w:val="es-ES"/>
        </w:rPr>
        <w:t>broadcasters</w:t>
      </w:r>
      <w:proofErr w:type="spellEnd"/>
      <w:r w:rsidRPr="00E27029">
        <w:rPr>
          <w:rFonts w:ascii="Arial" w:hAnsi="Arial" w:cs="Arial"/>
          <w:lang w:val="es-ES"/>
        </w:rPr>
        <w:t xml:space="preserve"> y creadores de contenido a simplificar la configuración en el set y mejorar la eficiencia de producción.</w:t>
      </w:r>
    </w:p>
    <w:p w14:paraId="10569F9D" w14:textId="77777777" w:rsidR="00E27029" w:rsidRPr="00E27029" w:rsidRDefault="00E27029" w:rsidP="00E27029">
      <w:pPr>
        <w:jc w:val="both"/>
        <w:rPr>
          <w:rFonts w:ascii="Arial" w:hAnsi="Arial" w:cs="Arial"/>
          <w:lang w:val="es-ES"/>
        </w:rPr>
      </w:pPr>
    </w:p>
    <w:p w14:paraId="1120ADB3" w14:textId="663604DA" w:rsidR="00E27029" w:rsidRPr="00E27029" w:rsidRDefault="00E27029" w:rsidP="00E27029">
      <w:pPr>
        <w:jc w:val="both"/>
        <w:rPr>
          <w:rFonts w:ascii="Arial" w:hAnsi="Arial" w:cs="Arial"/>
          <w:b/>
          <w:bCs/>
          <w:lang w:val="es-ES"/>
        </w:rPr>
      </w:pPr>
      <w:r w:rsidRPr="00E27029">
        <w:rPr>
          <w:rFonts w:ascii="Arial" w:hAnsi="Arial" w:cs="Arial"/>
          <w:b/>
          <w:bCs/>
          <w:lang w:val="es-ES"/>
        </w:rPr>
        <w:t>Rendimiento de transmisión sin concesiones</w:t>
      </w:r>
    </w:p>
    <w:p w14:paraId="6CB3781C" w14:textId="77777777" w:rsidR="00E27029" w:rsidRDefault="00E27029" w:rsidP="00E27029">
      <w:pPr>
        <w:jc w:val="both"/>
        <w:rPr>
          <w:rFonts w:ascii="Arial" w:hAnsi="Arial" w:cs="Arial"/>
          <w:lang w:val="es-ES"/>
        </w:rPr>
      </w:pPr>
    </w:p>
    <w:p w14:paraId="2DB46BB8" w14:textId="0EDA6DD0" w:rsidR="00E27029" w:rsidRPr="00E27029" w:rsidRDefault="00E27029" w:rsidP="00E27029">
      <w:pPr>
        <w:jc w:val="both"/>
        <w:rPr>
          <w:rFonts w:ascii="Arial" w:hAnsi="Arial" w:cs="Arial"/>
          <w:lang w:val="es-ES"/>
        </w:rPr>
      </w:pPr>
      <w:r w:rsidRPr="00E27029">
        <w:rPr>
          <w:rFonts w:ascii="Arial" w:hAnsi="Arial" w:cs="Arial"/>
          <w:lang w:val="es-ES"/>
        </w:rPr>
        <w:t xml:space="preserve">En el corazón del </w:t>
      </w:r>
      <w:proofErr w:type="spellStart"/>
      <w:r w:rsidRPr="00E27029">
        <w:rPr>
          <w:rFonts w:ascii="Arial" w:hAnsi="Arial" w:cs="Arial"/>
          <w:b/>
          <w:bCs/>
          <w:lang w:val="es-ES"/>
        </w:rPr>
        <w:t>Pyro</w:t>
      </w:r>
      <w:proofErr w:type="spellEnd"/>
      <w:r w:rsidRPr="00E27029">
        <w:rPr>
          <w:rFonts w:ascii="Arial" w:hAnsi="Arial" w:cs="Arial"/>
          <w:b/>
          <w:bCs/>
          <w:lang w:val="es-ES"/>
        </w:rPr>
        <w:t xml:space="preserve"> 5 4K</w:t>
      </w:r>
      <w:r w:rsidRPr="00E27029">
        <w:rPr>
          <w:rFonts w:ascii="Arial" w:hAnsi="Arial" w:cs="Arial"/>
          <w:lang w:val="es-ES"/>
        </w:rPr>
        <w:t xml:space="preserve"> se encuentra la transmisión inalámbrica 4K30 de extremo a extremo en todo el ecosistema </w:t>
      </w:r>
      <w:proofErr w:type="spellStart"/>
      <w:r w:rsidRPr="00E27029">
        <w:rPr>
          <w:rFonts w:ascii="Arial" w:hAnsi="Arial" w:cs="Arial"/>
          <w:lang w:val="es-ES"/>
        </w:rPr>
        <w:t>Pyro</w:t>
      </w:r>
      <w:proofErr w:type="spellEnd"/>
      <w:r w:rsidRPr="00E27029">
        <w:rPr>
          <w:rFonts w:ascii="Arial" w:hAnsi="Arial" w:cs="Arial"/>
          <w:lang w:val="es-ES"/>
        </w:rPr>
        <w:t>, ofreciendo una calidad de imagen ultra nítida para flujos de trabajo de producción profesional. Ya sea para cine, producción comercial, retransmisiones en directo o emisiones multicámara, el monitor proporciona transmisión inalámbrica de vídeo de alto rendimiento.</w:t>
      </w:r>
    </w:p>
    <w:p w14:paraId="5E1998B1" w14:textId="77777777" w:rsidR="00E27029" w:rsidRDefault="00E27029" w:rsidP="00E27029">
      <w:pPr>
        <w:jc w:val="both"/>
        <w:rPr>
          <w:rFonts w:ascii="Arial" w:hAnsi="Arial" w:cs="Arial"/>
          <w:lang w:val="es-ES"/>
        </w:rPr>
      </w:pPr>
    </w:p>
    <w:p w14:paraId="7D953474" w14:textId="3C13C92D" w:rsidR="00E27029" w:rsidRDefault="00E27029" w:rsidP="00E27029">
      <w:pPr>
        <w:jc w:val="both"/>
        <w:rPr>
          <w:rFonts w:ascii="Arial" w:hAnsi="Arial" w:cs="Arial"/>
          <w:lang w:val="es-ES"/>
        </w:rPr>
      </w:pPr>
      <w:r w:rsidRPr="00E27029">
        <w:rPr>
          <w:rFonts w:ascii="Arial" w:hAnsi="Arial" w:cs="Arial"/>
          <w:lang w:val="es-ES"/>
        </w:rPr>
        <w:t xml:space="preserve">Impulsado por la tecnología </w:t>
      </w:r>
      <w:proofErr w:type="spellStart"/>
      <w:r w:rsidRPr="00E27029">
        <w:rPr>
          <w:rFonts w:ascii="Arial" w:hAnsi="Arial" w:cs="Arial"/>
          <w:b/>
          <w:bCs/>
          <w:lang w:val="es-ES"/>
        </w:rPr>
        <w:t>WiFiBroadcast</w:t>
      </w:r>
      <w:proofErr w:type="spellEnd"/>
      <w:r w:rsidRPr="00E27029">
        <w:rPr>
          <w:rFonts w:ascii="Arial" w:hAnsi="Arial" w:cs="Arial"/>
          <w:lang w:val="es-ES"/>
        </w:rPr>
        <w:t xml:space="preserve"> de Hollyland, el </w:t>
      </w:r>
      <w:proofErr w:type="spellStart"/>
      <w:r w:rsidRPr="00E27029">
        <w:rPr>
          <w:rFonts w:ascii="Arial" w:hAnsi="Arial" w:cs="Arial"/>
          <w:b/>
          <w:bCs/>
          <w:lang w:val="es-ES"/>
        </w:rPr>
        <w:t>Pyro</w:t>
      </w:r>
      <w:proofErr w:type="spellEnd"/>
      <w:r w:rsidRPr="00E27029">
        <w:rPr>
          <w:rFonts w:ascii="Arial" w:hAnsi="Arial" w:cs="Arial"/>
          <w:b/>
          <w:bCs/>
          <w:lang w:val="es-ES"/>
        </w:rPr>
        <w:t xml:space="preserve"> 5 4K</w:t>
      </w:r>
      <w:r w:rsidRPr="00E27029">
        <w:rPr>
          <w:rFonts w:ascii="Arial" w:hAnsi="Arial" w:cs="Arial"/>
          <w:lang w:val="es-ES"/>
        </w:rPr>
        <w:t xml:space="preserve"> permite una colaboración inalámbrica flexible dentro del ecosistema </w:t>
      </w:r>
      <w:proofErr w:type="spellStart"/>
      <w:r w:rsidRPr="00E27029">
        <w:rPr>
          <w:rFonts w:ascii="Arial" w:hAnsi="Arial" w:cs="Arial"/>
          <w:lang w:val="es-ES"/>
        </w:rPr>
        <w:t>Pyro</w:t>
      </w:r>
      <w:proofErr w:type="spellEnd"/>
      <w:r w:rsidRPr="00E27029">
        <w:rPr>
          <w:rFonts w:ascii="Arial" w:hAnsi="Arial" w:cs="Arial"/>
          <w:lang w:val="es-ES"/>
        </w:rPr>
        <w:t xml:space="preserve">. En </w:t>
      </w:r>
      <w:r w:rsidRPr="00E27029">
        <w:rPr>
          <w:rFonts w:ascii="Arial" w:hAnsi="Arial" w:cs="Arial"/>
          <w:b/>
          <w:bCs/>
          <w:lang w:val="es-ES"/>
        </w:rPr>
        <w:t>Broadcast Mode</w:t>
      </w:r>
      <w:r w:rsidRPr="00E27029">
        <w:rPr>
          <w:rFonts w:ascii="Arial" w:hAnsi="Arial" w:cs="Arial"/>
          <w:lang w:val="es-ES"/>
        </w:rPr>
        <w:t xml:space="preserve">, un único </w:t>
      </w:r>
      <w:proofErr w:type="spellStart"/>
      <w:r w:rsidRPr="00E27029">
        <w:rPr>
          <w:rFonts w:ascii="Arial" w:hAnsi="Arial" w:cs="Arial"/>
          <w:lang w:val="es-ES"/>
        </w:rPr>
        <w:t>Pyro</w:t>
      </w:r>
      <w:proofErr w:type="spellEnd"/>
      <w:r w:rsidRPr="00E27029">
        <w:rPr>
          <w:rFonts w:ascii="Arial" w:hAnsi="Arial" w:cs="Arial"/>
          <w:lang w:val="es-ES"/>
        </w:rPr>
        <w:t xml:space="preserve"> 5 4K puede transmitir vídeo simultáneamente a hasta cuatro dispositivos </w:t>
      </w:r>
      <w:proofErr w:type="spellStart"/>
      <w:r w:rsidRPr="00E27029">
        <w:rPr>
          <w:rFonts w:ascii="Arial" w:hAnsi="Arial" w:cs="Arial"/>
          <w:lang w:val="es-ES"/>
        </w:rPr>
        <w:t>Pyro</w:t>
      </w:r>
      <w:proofErr w:type="spellEnd"/>
      <w:r w:rsidRPr="00E27029">
        <w:rPr>
          <w:rFonts w:ascii="Arial" w:hAnsi="Arial" w:cs="Arial"/>
          <w:lang w:val="es-ES"/>
        </w:rPr>
        <w:t xml:space="preserve"> a una distancia de hasta </w:t>
      </w:r>
      <w:r w:rsidRPr="00E27029">
        <w:rPr>
          <w:rFonts w:ascii="Arial" w:hAnsi="Arial" w:cs="Arial"/>
          <w:b/>
          <w:bCs/>
          <w:lang w:val="es-ES"/>
        </w:rPr>
        <w:t>200 metros (656 pies)</w:t>
      </w:r>
      <w:r w:rsidRPr="00E27029">
        <w:rPr>
          <w:rFonts w:ascii="Arial" w:hAnsi="Arial" w:cs="Arial"/>
          <w:lang w:val="es-ES"/>
        </w:rPr>
        <w:t xml:space="preserve"> con línea de visión. Cuando el modo Broadcast está desactivado, admite conexiones con hasta dos dispositivos </w:t>
      </w:r>
      <w:proofErr w:type="spellStart"/>
      <w:r w:rsidRPr="00E27029">
        <w:rPr>
          <w:rFonts w:ascii="Arial" w:hAnsi="Arial" w:cs="Arial"/>
          <w:lang w:val="es-ES"/>
        </w:rPr>
        <w:t>Pyro</w:t>
      </w:r>
      <w:proofErr w:type="spellEnd"/>
      <w:r w:rsidRPr="00E27029">
        <w:rPr>
          <w:rFonts w:ascii="Arial" w:hAnsi="Arial" w:cs="Arial"/>
          <w:lang w:val="es-ES"/>
        </w:rPr>
        <w:t xml:space="preserve"> y dos clientes de la aplicación </w:t>
      </w:r>
      <w:proofErr w:type="spellStart"/>
      <w:r w:rsidRPr="00E27029">
        <w:rPr>
          <w:rFonts w:ascii="Arial" w:hAnsi="Arial" w:cs="Arial"/>
          <w:b/>
          <w:bCs/>
          <w:lang w:val="es-ES"/>
        </w:rPr>
        <w:t>HollyView</w:t>
      </w:r>
      <w:proofErr w:type="spellEnd"/>
      <w:r w:rsidRPr="00E27029">
        <w:rPr>
          <w:rFonts w:ascii="Arial" w:hAnsi="Arial" w:cs="Arial"/>
          <w:lang w:val="es-ES"/>
        </w:rPr>
        <w:t>.</w:t>
      </w:r>
    </w:p>
    <w:p w14:paraId="7F4C961E" w14:textId="77777777" w:rsidR="00E27029" w:rsidRPr="00E27029" w:rsidRDefault="00E27029" w:rsidP="00E27029">
      <w:pPr>
        <w:jc w:val="both"/>
        <w:rPr>
          <w:rFonts w:ascii="Arial" w:hAnsi="Arial" w:cs="Arial"/>
          <w:lang w:val="es-ES"/>
        </w:rPr>
      </w:pPr>
    </w:p>
    <w:p w14:paraId="600A3256" w14:textId="77777777" w:rsidR="00E27029" w:rsidRDefault="00E27029" w:rsidP="00E27029">
      <w:pPr>
        <w:jc w:val="both"/>
        <w:rPr>
          <w:rFonts w:ascii="Arial" w:hAnsi="Arial" w:cs="Arial"/>
          <w:lang w:val="es-ES"/>
        </w:rPr>
      </w:pPr>
      <w:r w:rsidRPr="00E27029">
        <w:rPr>
          <w:rFonts w:ascii="Arial" w:hAnsi="Arial" w:cs="Arial"/>
          <w:lang w:val="es-ES"/>
        </w:rPr>
        <w:t xml:space="preserve">Al igual que el </w:t>
      </w:r>
      <w:proofErr w:type="spellStart"/>
      <w:r w:rsidRPr="00E27029">
        <w:rPr>
          <w:rFonts w:ascii="Arial" w:hAnsi="Arial" w:cs="Arial"/>
          <w:lang w:val="es-ES"/>
        </w:rPr>
        <w:t>Pyro</w:t>
      </w:r>
      <w:proofErr w:type="spellEnd"/>
      <w:r w:rsidRPr="00E27029">
        <w:rPr>
          <w:rFonts w:ascii="Arial" w:hAnsi="Arial" w:cs="Arial"/>
          <w:lang w:val="es-ES"/>
        </w:rPr>
        <w:t xml:space="preserve"> 5 y el </w:t>
      </w:r>
      <w:proofErr w:type="spellStart"/>
      <w:r w:rsidRPr="00E27029">
        <w:rPr>
          <w:rFonts w:ascii="Arial" w:hAnsi="Arial" w:cs="Arial"/>
          <w:lang w:val="es-ES"/>
        </w:rPr>
        <w:t>Pyro</w:t>
      </w:r>
      <w:proofErr w:type="spellEnd"/>
      <w:r w:rsidRPr="00E27029">
        <w:rPr>
          <w:rFonts w:ascii="Arial" w:hAnsi="Arial" w:cs="Arial"/>
          <w:lang w:val="es-ES"/>
        </w:rPr>
        <w:t xml:space="preserve"> 7, el </w:t>
      </w:r>
      <w:proofErr w:type="spellStart"/>
      <w:r w:rsidRPr="00E27029">
        <w:rPr>
          <w:rFonts w:ascii="Arial" w:hAnsi="Arial" w:cs="Arial"/>
          <w:b/>
          <w:bCs/>
          <w:lang w:val="es-ES"/>
        </w:rPr>
        <w:t>Pyro</w:t>
      </w:r>
      <w:proofErr w:type="spellEnd"/>
      <w:r w:rsidRPr="00E27029">
        <w:rPr>
          <w:rFonts w:ascii="Arial" w:hAnsi="Arial" w:cs="Arial"/>
          <w:b/>
          <w:bCs/>
          <w:lang w:val="es-ES"/>
        </w:rPr>
        <w:t xml:space="preserve"> 5 4K</w:t>
      </w:r>
      <w:r w:rsidRPr="00E27029">
        <w:rPr>
          <w:rFonts w:ascii="Arial" w:hAnsi="Arial" w:cs="Arial"/>
          <w:lang w:val="es-ES"/>
        </w:rPr>
        <w:t xml:space="preserve"> funciona tanto en las bandas de </w:t>
      </w:r>
      <w:r w:rsidRPr="00E27029">
        <w:rPr>
          <w:rFonts w:ascii="Arial" w:hAnsi="Arial" w:cs="Arial"/>
          <w:b/>
          <w:bCs/>
          <w:lang w:val="es-ES"/>
        </w:rPr>
        <w:t>2,4 GHz</w:t>
      </w:r>
      <w:r w:rsidRPr="00E27029">
        <w:rPr>
          <w:rFonts w:ascii="Arial" w:hAnsi="Arial" w:cs="Arial"/>
          <w:lang w:val="es-ES"/>
        </w:rPr>
        <w:t xml:space="preserve"> como de </w:t>
      </w:r>
      <w:r w:rsidRPr="00E27029">
        <w:rPr>
          <w:rFonts w:ascii="Arial" w:hAnsi="Arial" w:cs="Arial"/>
          <w:b/>
          <w:bCs/>
          <w:lang w:val="es-ES"/>
        </w:rPr>
        <w:t>5 GHz</w:t>
      </w:r>
      <w:r w:rsidRPr="00E27029">
        <w:rPr>
          <w:rFonts w:ascii="Arial" w:hAnsi="Arial" w:cs="Arial"/>
          <w:lang w:val="es-ES"/>
        </w:rPr>
        <w:t xml:space="preserve">, accediendo a un espectro inalámbrico más amplio. La función </w:t>
      </w:r>
      <w:r w:rsidRPr="00E27029">
        <w:rPr>
          <w:rFonts w:ascii="Arial" w:hAnsi="Arial" w:cs="Arial"/>
          <w:b/>
          <w:bCs/>
          <w:lang w:val="es-ES"/>
        </w:rPr>
        <w:t xml:space="preserve">Smart Channel </w:t>
      </w:r>
      <w:proofErr w:type="spellStart"/>
      <w:r w:rsidRPr="00E27029">
        <w:rPr>
          <w:rFonts w:ascii="Arial" w:hAnsi="Arial" w:cs="Arial"/>
          <w:b/>
          <w:bCs/>
          <w:lang w:val="es-ES"/>
        </w:rPr>
        <w:t>Selection</w:t>
      </w:r>
      <w:proofErr w:type="spellEnd"/>
      <w:r w:rsidRPr="00E27029">
        <w:rPr>
          <w:rFonts w:ascii="Arial" w:hAnsi="Arial" w:cs="Arial"/>
          <w:lang w:val="es-ES"/>
        </w:rPr>
        <w:t xml:space="preserve"> analiza las frecuencias disponibles cada vez que el monitor se enciende y selecciona automáticamente un canal libre de interferencias. Durante el uso, </w:t>
      </w:r>
      <w:r w:rsidRPr="00E27029">
        <w:rPr>
          <w:rFonts w:ascii="Arial" w:hAnsi="Arial" w:cs="Arial"/>
          <w:b/>
          <w:bCs/>
          <w:lang w:val="es-ES"/>
        </w:rPr>
        <w:t xml:space="preserve">Auto </w:t>
      </w:r>
      <w:proofErr w:type="spellStart"/>
      <w:r w:rsidRPr="00E27029">
        <w:rPr>
          <w:rFonts w:ascii="Arial" w:hAnsi="Arial" w:cs="Arial"/>
          <w:b/>
          <w:bCs/>
          <w:lang w:val="es-ES"/>
        </w:rPr>
        <w:t>Frequency</w:t>
      </w:r>
      <w:proofErr w:type="spellEnd"/>
      <w:r w:rsidRPr="00E27029">
        <w:rPr>
          <w:rFonts w:ascii="Arial" w:hAnsi="Arial" w:cs="Arial"/>
          <w:b/>
          <w:bCs/>
          <w:lang w:val="es-ES"/>
        </w:rPr>
        <w:t xml:space="preserve"> Hopping</w:t>
      </w:r>
      <w:r w:rsidRPr="00E27029">
        <w:rPr>
          <w:rFonts w:ascii="Arial" w:hAnsi="Arial" w:cs="Arial"/>
          <w:lang w:val="es-ES"/>
        </w:rPr>
        <w:t xml:space="preserve"> mantiene una conexión estable cambiando automáticamente a canales más limpios cuando detecta interferencias. Para producciones que utilizan varios dispositivos </w:t>
      </w:r>
      <w:proofErr w:type="spellStart"/>
      <w:r w:rsidRPr="00E27029">
        <w:rPr>
          <w:rFonts w:ascii="Arial" w:hAnsi="Arial" w:cs="Arial"/>
          <w:lang w:val="es-ES"/>
        </w:rPr>
        <w:t>Pyro</w:t>
      </w:r>
      <w:proofErr w:type="spellEnd"/>
      <w:r w:rsidRPr="00E27029">
        <w:rPr>
          <w:rFonts w:ascii="Arial" w:hAnsi="Arial" w:cs="Arial"/>
          <w:lang w:val="es-ES"/>
        </w:rPr>
        <w:t>, la selección manual de canales permite asignar un canal diferente a cada equipo, reduciendo los conflictos de frecuencia en todo el sistema.</w:t>
      </w:r>
    </w:p>
    <w:p w14:paraId="71C978BE" w14:textId="77777777" w:rsidR="00E27029" w:rsidRDefault="00E27029" w:rsidP="00E27029">
      <w:pPr>
        <w:jc w:val="both"/>
        <w:rPr>
          <w:rFonts w:ascii="Arial" w:hAnsi="Arial" w:cs="Arial"/>
          <w:lang w:val="es-ES"/>
        </w:rPr>
      </w:pPr>
    </w:p>
    <w:p w14:paraId="3D1D58D1" w14:textId="77777777" w:rsidR="00E27029" w:rsidRDefault="00E27029" w:rsidP="00E27029">
      <w:pPr>
        <w:jc w:val="both"/>
        <w:rPr>
          <w:rFonts w:ascii="Arial" w:hAnsi="Arial" w:cs="Arial"/>
          <w:lang w:val="es-ES"/>
        </w:rPr>
      </w:pPr>
    </w:p>
    <w:p w14:paraId="553E1786" w14:textId="77777777" w:rsidR="00E27029" w:rsidRDefault="00E27029" w:rsidP="00E27029">
      <w:pPr>
        <w:jc w:val="both"/>
        <w:rPr>
          <w:rFonts w:ascii="Arial" w:hAnsi="Arial" w:cs="Arial"/>
          <w:lang w:val="es-ES"/>
        </w:rPr>
      </w:pPr>
    </w:p>
    <w:p w14:paraId="471225E5" w14:textId="77777777" w:rsidR="00E27029" w:rsidRPr="00E27029" w:rsidRDefault="00E27029" w:rsidP="00E27029">
      <w:pPr>
        <w:jc w:val="both"/>
        <w:rPr>
          <w:rFonts w:ascii="Arial" w:hAnsi="Arial" w:cs="Arial"/>
          <w:lang w:val="es-ES"/>
        </w:rPr>
      </w:pPr>
    </w:p>
    <w:p w14:paraId="0239F22D" w14:textId="77777777" w:rsidR="00E27029" w:rsidRPr="00E27029" w:rsidRDefault="00E27029" w:rsidP="00E27029">
      <w:pPr>
        <w:jc w:val="both"/>
        <w:rPr>
          <w:rFonts w:ascii="Arial" w:hAnsi="Arial" w:cs="Arial"/>
          <w:b/>
          <w:bCs/>
          <w:lang w:val="es-ES"/>
        </w:rPr>
      </w:pPr>
      <w:r w:rsidRPr="00E27029">
        <w:rPr>
          <w:rFonts w:ascii="Arial" w:hAnsi="Arial" w:cs="Arial"/>
          <w:b/>
          <w:bCs/>
          <w:lang w:val="es-ES"/>
        </w:rPr>
        <w:t>Mucho más que un monitor</w:t>
      </w:r>
    </w:p>
    <w:p w14:paraId="47A461C7" w14:textId="77777777" w:rsidR="00E27029" w:rsidRDefault="00E27029" w:rsidP="00E27029">
      <w:pPr>
        <w:jc w:val="both"/>
        <w:rPr>
          <w:rFonts w:ascii="Arial" w:hAnsi="Arial" w:cs="Arial"/>
          <w:lang w:val="es-ES"/>
        </w:rPr>
      </w:pPr>
    </w:p>
    <w:p w14:paraId="040C4F2A" w14:textId="1E449211" w:rsidR="00E27029" w:rsidRPr="00E27029" w:rsidRDefault="00E27029" w:rsidP="00E27029">
      <w:pPr>
        <w:jc w:val="both"/>
        <w:rPr>
          <w:rFonts w:ascii="Arial" w:hAnsi="Arial" w:cs="Arial"/>
          <w:lang w:val="es-ES"/>
        </w:rPr>
      </w:pPr>
      <w:r w:rsidRPr="00E27029">
        <w:rPr>
          <w:rFonts w:ascii="Arial" w:hAnsi="Arial" w:cs="Arial"/>
          <w:lang w:val="es-ES"/>
        </w:rPr>
        <w:t xml:space="preserve">Además de sus capacidades de transmisión inalámbrica, el </w:t>
      </w:r>
      <w:proofErr w:type="spellStart"/>
      <w:r w:rsidRPr="00E27029">
        <w:rPr>
          <w:rFonts w:ascii="Arial" w:hAnsi="Arial" w:cs="Arial"/>
          <w:b/>
          <w:bCs/>
          <w:lang w:val="es-ES"/>
        </w:rPr>
        <w:t>Pyro</w:t>
      </w:r>
      <w:proofErr w:type="spellEnd"/>
      <w:r w:rsidRPr="00E27029">
        <w:rPr>
          <w:rFonts w:ascii="Arial" w:hAnsi="Arial" w:cs="Arial"/>
          <w:b/>
          <w:bCs/>
          <w:lang w:val="es-ES"/>
        </w:rPr>
        <w:t xml:space="preserve"> 5 4K</w:t>
      </w:r>
      <w:r w:rsidRPr="00E27029">
        <w:rPr>
          <w:rFonts w:ascii="Arial" w:hAnsi="Arial" w:cs="Arial"/>
          <w:lang w:val="es-ES"/>
        </w:rPr>
        <w:t xml:space="preserve"> integra las funciones de transmisor, receptor y monitor en un único dispositivo de </w:t>
      </w:r>
      <w:r w:rsidRPr="00E27029">
        <w:rPr>
          <w:rFonts w:ascii="Arial" w:hAnsi="Arial" w:cs="Arial"/>
          <w:b/>
          <w:bCs/>
          <w:lang w:val="es-ES"/>
        </w:rPr>
        <w:t>5,5 pulgadas</w:t>
      </w:r>
      <w:r w:rsidRPr="00E27029">
        <w:rPr>
          <w:rFonts w:ascii="Arial" w:hAnsi="Arial" w:cs="Arial"/>
          <w:lang w:val="es-ES"/>
        </w:rPr>
        <w:t xml:space="preserve">, simplificando tanto las configuraciones de monitorización montadas sobre cámara como las soluciones móviles. Más que un monitor inalámbrico, el </w:t>
      </w:r>
      <w:proofErr w:type="spellStart"/>
      <w:r w:rsidRPr="00E27029">
        <w:rPr>
          <w:rFonts w:ascii="Arial" w:hAnsi="Arial" w:cs="Arial"/>
          <w:b/>
          <w:bCs/>
          <w:lang w:val="es-ES"/>
        </w:rPr>
        <w:t>Pyro</w:t>
      </w:r>
      <w:proofErr w:type="spellEnd"/>
      <w:r w:rsidRPr="00E27029">
        <w:rPr>
          <w:rFonts w:ascii="Arial" w:hAnsi="Arial" w:cs="Arial"/>
          <w:b/>
          <w:bCs/>
          <w:lang w:val="es-ES"/>
        </w:rPr>
        <w:t xml:space="preserve"> 5 4K</w:t>
      </w:r>
      <w:r w:rsidRPr="00E27029">
        <w:rPr>
          <w:rFonts w:ascii="Arial" w:hAnsi="Arial" w:cs="Arial"/>
          <w:lang w:val="es-ES"/>
        </w:rPr>
        <w:t xml:space="preserve"> también incorpora control directo de cámara y grabación proxy.</w:t>
      </w:r>
    </w:p>
    <w:p w14:paraId="4B5CDCCA" w14:textId="77777777" w:rsidR="00E27029" w:rsidRDefault="00E27029" w:rsidP="00E27029">
      <w:pPr>
        <w:jc w:val="both"/>
        <w:rPr>
          <w:rFonts w:ascii="Arial" w:hAnsi="Arial" w:cs="Arial"/>
          <w:lang w:val="es-ES"/>
        </w:rPr>
      </w:pPr>
    </w:p>
    <w:p w14:paraId="6745B52E" w14:textId="0847F3B3" w:rsidR="00E27029" w:rsidRPr="00E27029" w:rsidRDefault="00E27029" w:rsidP="00E27029">
      <w:pPr>
        <w:jc w:val="both"/>
        <w:rPr>
          <w:rFonts w:ascii="Arial" w:hAnsi="Arial" w:cs="Arial"/>
          <w:lang w:val="es-ES"/>
        </w:rPr>
      </w:pPr>
      <w:r w:rsidRPr="00E27029">
        <w:rPr>
          <w:rFonts w:ascii="Arial" w:hAnsi="Arial" w:cs="Arial"/>
          <w:lang w:val="es-ES"/>
        </w:rPr>
        <w:t xml:space="preserve">La función </w:t>
      </w:r>
      <w:r w:rsidRPr="00E27029">
        <w:rPr>
          <w:rFonts w:ascii="Arial" w:hAnsi="Arial" w:cs="Arial"/>
          <w:b/>
          <w:bCs/>
          <w:lang w:val="es-ES"/>
        </w:rPr>
        <w:t>Direct Camera Control</w:t>
      </w:r>
      <w:r w:rsidRPr="00E27029">
        <w:rPr>
          <w:rFonts w:ascii="Arial" w:hAnsi="Arial" w:cs="Arial"/>
          <w:lang w:val="es-ES"/>
        </w:rPr>
        <w:t xml:space="preserve"> permite a los operadores ajustar la configuración de la cámara directamente desde la pantalla táctil, sin necesidad de volver físicamente al equipo. La compatibilidad se ha ampliado para incluir más modelos de cámaras </w:t>
      </w:r>
      <w:r w:rsidRPr="00E27029">
        <w:rPr>
          <w:rFonts w:ascii="Arial" w:hAnsi="Arial" w:cs="Arial"/>
          <w:b/>
          <w:bCs/>
          <w:lang w:val="es-ES"/>
        </w:rPr>
        <w:t>Sony, Canon y Nikon</w:t>
      </w:r>
      <w:r w:rsidRPr="00E27029">
        <w:rPr>
          <w:rFonts w:ascii="Arial" w:hAnsi="Arial" w:cs="Arial"/>
          <w:lang w:val="es-ES"/>
        </w:rPr>
        <w:t xml:space="preserve">. Además, la nueva función </w:t>
      </w:r>
      <w:proofErr w:type="spellStart"/>
      <w:r w:rsidRPr="00E27029">
        <w:rPr>
          <w:rFonts w:ascii="Arial" w:hAnsi="Arial" w:cs="Arial"/>
          <w:b/>
          <w:bCs/>
          <w:lang w:val="es-ES"/>
        </w:rPr>
        <w:t>Image</w:t>
      </w:r>
      <w:proofErr w:type="spellEnd"/>
      <w:r w:rsidRPr="00E27029">
        <w:rPr>
          <w:rFonts w:ascii="Arial" w:hAnsi="Arial" w:cs="Arial"/>
          <w:b/>
          <w:bCs/>
          <w:lang w:val="es-ES"/>
        </w:rPr>
        <w:t xml:space="preserve"> </w:t>
      </w:r>
      <w:proofErr w:type="spellStart"/>
      <w:r w:rsidRPr="00E27029">
        <w:rPr>
          <w:rFonts w:ascii="Arial" w:hAnsi="Arial" w:cs="Arial"/>
          <w:b/>
          <w:bCs/>
          <w:lang w:val="es-ES"/>
        </w:rPr>
        <w:t>Overlay</w:t>
      </w:r>
      <w:proofErr w:type="spellEnd"/>
      <w:r w:rsidRPr="00E27029">
        <w:rPr>
          <w:rFonts w:ascii="Arial" w:hAnsi="Arial" w:cs="Arial"/>
          <w:lang w:val="es-ES"/>
        </w:rPr>
        <w:t xml:space="preserve"> ayuda a los equipos a reproducir con precisión el encuadre utilizando imágenes de referencia, lo que resulta ideal para mantener composiciones consistentes entre múltiples tomas y reducir la necesidad de repetir grabaciones.</w:t>
      </w:r>
    </w:p>
    <w:p w14:paraId="3DC585DB" w14:textId="77777777" w:rsidR="00E27029" w:rsidRDefault="00E27029" w:rsidP="00E27029">
      <w:pPr>
        <w:jc w:val="both"/>
        <w:rPr>
          <w:rFonts w:ascii="Arial" w:hAnsi="Arial" w:cs="Arial"/>
          <w:lang w:val="es-ES"/>
        </w:rPr>
      </w:pPr>
    </w:p>
    <w:p w14:paraId="78449C03" w14:textId="448F0527" w:rsidR="00E27029" w:rsidRPr="00E27029" w:rsidRDefault="00E27029" w:rsidP="00E27029">
      <w:pPr>
        <w:jc w:val="both"/>
        <w:rPr>
          <w:rFonts w:ascii="Arial" w:hAnsi="Arial" w:cs="Arial"/>
          <w:lang w:val="es-ES"/>
        </w:rPr>
      </w:pPr>
      <w:r w:rsidRPr="00E27029">
        <w:rPr>
          <w:rFonts w:ascii="Arial" w:hAnsi="Arial" w:cs="Arial"/>
          <w:lang w:val="es-ES"/>
        </w:rPr>
        <w:t xml:space="preserve">El monitor también admite </w:t>
      </w:r>
      <w:r w:rsidRPr="00E27029">
        <w:rPr>
          <w:rFonts w:ascii="Arial" w:hAnsi="Arial" w:cs="Arial"/>
          <w:b/>
          <w:bCs/>
          <w:lang w:val="es-ES"/>
        </w:rPr>
        <w:t xml:space="preserve">Proxy </w:t>
      </w:r>
      <w:proofErr w:type="spellStart"/>
      <w:r w:rsidRPr="00E27029">
        <w:rPr>
          <w:rFonts w:ascii="Arial" w:hAnsi="Arial" w:cs="Arial"/>
          <w:b/>
          <w:bCs/>
          <w:lang w:val="es-ES"/>
        </w:rPr>
        <w:t>Recording</w:t>
      </w:r>
      <w:proofErr w:type="spellEnd"/>
      <w:r w:rsidRPr="00E27029">
        <w:rPr>
          <w:rFonts w:ascii="Arial" w:hAnsi="Arial" w:cs="Arial"/>
          <w:lang w:val="es-ES"/>
        </w:rPr>
        <w:t>, permitiendo guardar archivos proxy directamente en una tarjeta SD con código de tiempo (</w:t>
      </w:r>
      <w:proofErr w:type="spellStart"/>
      <w:r w:rsidRPr="00E27029">
        <w:rPr>
          <w:rFonts w:ascii="Arial" w:hAnsi="Arial" w:cs="Arial"/>
          <w:lang w:val="es-ES"/>
        </w:rPr>
        <w:t>timecode</w:t>
      </w:r>
      <w:proofErr w:type="spellEnd"/>
      <w:r w:rsidRPr="00E27029">
        <w:rPr>
          <w:rFonts w:ascii="Arial" w:hAnsi="Arial" w:cs="Arial"/>
          <w:lang w:val="es-ES"/>
        </w:rPr>
        <w:t>) integrado para facilitar la revisión sincronizada, el montaje preliminar y la colaboración durante la posproducción.</w:t>
      </w:r>
    </w:p>
    <w:p w14:paraId="7B2208BC" w14:textId="77777777" w:rsidR="00E27029" w:rsidRPr="00E27029" w:rsidRDefault="00E27029" w:rsidP="00E27029">
      <w:pPr>
        <w:jc w:val="both"/>
        <w:rPr>
          <w:rFonts w:ascii="Arial" w:hAnsi="Arial" w:cs="Arial"/>
          <w:lang w:val="es-ES"/>
        </w:rPr>
      </w:pPr>
      <w:r w:rsidRPr="00E27029">
        <w:rPr>
          <w:rFonts w:ascii="Arial" w:hAnsi="Arial" w:cs="Arial"/>
          <w:lang w:val="es-ES"/>
        </w:rPr>
        <w:t xml:space="preserve">La pantalla de </w:t>
      </w:r>
      <w:r w:rsidRPr="00E27029">
        <w:rPr>
          <w:rFonts w:ascii="Arial" w:hAnsi="Arial" w:cs="Arial"/>
          <w:b/>
          <w:bCs/>
          <w:lang w:val="es-ES"/>
        </w:rPr>
        <w:t>5,5 pulgadas</w:t>
      </w:r>
      <w:r w:rsidRPr="00E27029">
        <w:rPr>
          <w:rFonts w:ascii="Arial" w:hAnsi="Arial" w:cs="Arial"/>
          <w:lang w:val="es-ES"/>
        </w:rPr>
        <w:t xml:space="preserve"> y </w:t>
      </w:r>
      <w:r w:rsidRPr="00E27029">
        <w:rPr>
          <w:rFonts w:ascii="Arial" w:hAnsi="Arial" w:cs="Arial"/>
          <w:b/>
          <w:bCs/>
          <w:lang w:val="es-ES"/>
        </w:rPr>
        <w:t xml:space="preserve">1.500 </w:t>
      </w:r>
      <w:proofErr w:type="spellStart"/>
      <w:r w:rsidRPr="00E27029">
        <w:rPr>
          <w:rFonts w:ascii="Arial" w:hAnsi="Arial" w:cs="Arial"/>
          <w:b/>
          <w:bCs/>
          <w:lang w:val="es-ES"/>
        </w:rPr>
        <w:t>nits</w:t>
      </w:r>
      <w:proofErr w:type="spellEnd"/>
      <w:r w:rsidRPr="00E27029">
        <w:rPr>
          <w:rFonts w:ascii="Arial" w:hAnsi="Arial" w:cs="Arial"/>
          <w:lang w:val="es-ES"/>
        </w:rPr>
        <w:t xml:space="preserve"> de brillo, perfectamente visible incluso a plena luz del día, incorpora herramientas profesionales de monitorización como </w:t>
      </w:r>
      <w:proofErr w:type="spellStart"/>
      <w:r w:rsidRPr="00E27029">
        <w:rPr>
          <w:rFonts w:ascii="Arial" w:hAnsi="Arial" w:cs="Arial"/>
          <w:b/>
          <w:bCs/>
          <w:lang w:val="es-ES"/>
        </w:rPr>
        <w:t>Waveform</w:t>
      </w:r>
      <w:proofErr w:type="spellEnd"/>
      <w:r w:rsidRPr="00E27029">
        <w:rPr>
          <w:rFonts w:ascii="Arial" w:hAnsi="Arial" w:cs="Arial"/>
          <w:lang w:val="es-ES"/>
        </w:rPr>
        <w:t xml:space="preserve">, </w:t>
      </w:r>
      <w:r w:rsidRPr="00E27029">
        <w:rPr>
          <w:rFonts w:ascii="Arial" w:hAnsi="Arial" w:cs="Arial"/>
          <w:b/>
          <w:bCs/>
          <w:lang w:val="es-ES"/>
        </w:rPr>
        <w:t>False Color</w:t>
      </w:r>
      <w:r w:rsidRPr="00E27029">
        <w:rPr>
          <w:rFonts w:ascii="Arial" w:hAnsi="Arial" w:cs="Arial"/>
          <w:lang w:val="es-ES"/>
        </w:rPr>
        <w:t xml:space="preserve">, </w:t>
      </w:r>
      <w:r w:rsidRPr="00E27029">
        <w:rPr>
          <w:rFonts w:ascii="Arial" w:hAnsi="Arial" w:cs="Arial"/>
          <w:b/>
          <w:bCs/>
          <w:lang w:val="es-ES"/>
        </w:rPr>
        <w:t xml:space="preserve">Focus </w:t>
      </w:r>
      <w:proofErr w:type="spellStart"/>
      <w:r w:rsidRPr="00E27029">
        <w:rPr>
          <w:rFonts w:ascii="Arial" w:hAnsi="Arial" w:cs="Arial"/>
          <w:b/>
          <w:bCs/>
          <w:lang w:val="es-ES"/>
        </w:rPr>
        <w:t>Assist</w:t>
      </w:r>
      <w:proofErr w:type="spellEnd"/>
      <w:r w:rsidRPr="00E27029">
        <w:rPr>
          <w:rFonts w:ascii="Arial" w:hAnsi="Arial" w:cs="Arial"/>
          <w:lang w:val="es-ES"/>
        </w:rPr>
        <w:t xml:space="preserve">, </w:t>
      </w:r>
      <w:r w:rsidRPr="00E27029">
        <w:rPr>
          <w:rFonts w:ascii="Arial" w:hAnsi="Arial" w:cs="Arial"/>
          <w:b/>
          <w:bCs/>
          <w:lang w:val="es-ES"/>
        </w:rPr>
        <w:t>Zebra Pattern</w:t>
      </w:r>
      <w:r w:rsidRPr="00E27029">
        <w:rPr>
          <w:rFonts w:ascii="Arial" w:hAnsi="Arial" w:cs="Arial"/>
          <w:lang w:val="es-ES"/>
        </w:rPr>
        <w:t xml:space="preserve"> y compatibilidad con </w:t>
      </w:r>
      <w:r w:rsidRPr="00E27029">
        <w:rPr>
          <w:rFonts w:ascii="Arial" w:hAnsi="Arial" w:cs="Arial"/>
          <w:b/>
          <w:bCs/>
          <w:lang w:val="es-ES"/>
        </w:rPr>
        <w:t>LUTs 3D</w:t>
      </w:r>
      <w:r w:rsidRPr="00E27029">
        <w:rPr>
          <w:rFonts w:ascii="Arial" w:hAnsi="Arial" w:cs="Arial"/>
          <w:lang w:val="es-ES"/>
        </w:rPr>
        <w:t xml:space="preserve">. Asimismo, ofrece entradas y salidas </w:t>
      </w:r>
      <w:r w:rsidRPr="00E27029">
        <w:rPr>
          <w:rFonts w:ascii="Arial" w:hAnsi="Arial" w:cs="Arial"/>
          <w:b/>
          <w:bCs/>
          <w:lang w:val="es-ES"/>
        </w:rPr>
        <w:t>HDMI</w:t>
      </w:r>
      <w:r w:rsidRPr="00E27029">
        <w:rPr>
          <w:rFonts w:ascii="Arial" w:hAnsi="Arial" w:cs="Arial"/>
          <w:lang w:val="es-ES"/>
        </w:rPr>
        <w:t xml:space="preserve">, además de entrada </w:t>
      </w:r>
      <w:r w:rsidRPr="00E27029">
        <w:rPr>
          <w:rFonts w:ascii="Arial" w:hAnsi="Arial" w:cs="Arial"/>
          <w:b/>
          <w:bCs/>
          <w:lang w:val="es-ES"/>
        </w:rPr>
        <w:t>SDI</w:t>
      </w:r>
      <w:r w:rsidRPr="00E27029">
        <w:rPr>
          <w:rFonts w:ascii="Arial" w:hAnsi="Arial" w:cs="Arial"/>
          <w:lang w:val="es-ES"/>
        </w:rPr>
        <w:t>, proporcionando una gran flexibilidad para la gestión de señales de vídeo.</w:t>
      </w:r>
    </w:p>
    <w:p w14:paraId="4E929B4A" w14:textId="77777777" w:rsidR="00E27029" w:rsidRDefault="00E27029" w:rsidP="00E27029">
      <w:pPr>
        <w:jc w:val="both"/>
        <w:rPr>
          <w:rFonts w:ascii="Arial" w:hAnsi="Arial" w:cs="Arial"/>
          <w:lang w:val="es-ES"/>
        </w:rPr>
      </w:pPr>
    </w:p>
    <w:p w14:paraId="63B618FE" w14:textId="5DACF07C" w:rsidR="00E27029" w:rsidRPr="00E27029" w:rsidRDefault="00E27029" w:rsidP="00E27029">
      <w:pPr>
        <w:jc w:val="both"/>
        <w:rPr>
          <w:rFonts w:ascii="Arial" w:hAnsi="Arial" w:cs="Arial"/>
          <w:lang w:val="es-ES"/>
        </w:rPr>
      </w:pPr>
      <w:r w:rsidRPr="00E27029">
        <w:rPr>
          <w:rFonts w:ascii="Arial" w:hAnsi="Arial" w:cs="Arial"/>
          <w:lang w:val="es-ES"/>
        </w:rPr>
        <w:t xml:space="preserve">El </w:t>
      </w:r>
      <w:proofErr w:type="spellStart"/>
      <w:r w:rsidRPr="00E27029">
        <w:rPr>
          <w:rFonts w:ascii="Arial" w:hAnsi="Arial" w:cs="Arial"/>
          <w:b/>
          <w:bCs/>
          <w:lang w:val="es-ES"/>
        </w:rPr>
        <w:t>Pyro</w:t>
      </w:r>
      <w:proofErr w:type="spellEnd"/>
      <w:r w:rsidRPr="00E27029">
        <w:rPr>
          <w:rFonts w:ascii="Arial" w:hAnsi="Arial" w:cs="Arial"/>
          <w:b/>
          <w:bCs/>
          <w:lang w:val="es-ES"/>
        </w:rPr>
        <w:t xml:space="preserve"> 5 4K</w:t>
      </w:r>
      <w:r w:rsidRPr="00E27029">
        <w:rPr>
          <w:rFonts w:ascii="Arial" w:hAnsi="Arial" w:cs="Arial"/>
          <w:lang w:val="es-ES"/>
        </w:rPr>
        <w:t xml:space="preserve"> amplía las capacidades de transmisión inalámbrica del ecosistema </w:t>
      </w:r>
      <w:proofErr w:type="spellStart"/>
      <w:r w:rsidRPr="00E27029">
        <w:rPr>
          <w:rFonts w:ascii="Arial" w:hAnsi="Arial" w:cs="Arial"/>
          <w:lang w:val="es-ES"/>
        </w:rPr>
        <w:t>Pyro</w:t>
      </w:r>
      <w:proofErr w:type="spellEnd"/>
      <w:r w:rsidRPr="00E27029">
        <w:rPr>
          <w:rFonts w:ascii="Arial" w:hAnsi="Arial" w:cs="Arial"/>
          <w:lang w:val="es-ES"/>
        </w:rPr>
        <w:t xml:space="preserve">. Al integrar flujos de trabajo inalámbricos en </w:t>
      </w:r>
      <w:r w:rsidRPr="00E27029">
        <w:rPr>
          <w:rFonts w:ascii="Arial" w:hAnsi="Arial" w:cs="Arial"/>
          <w:b/>
          <w:bCs/>
          <w:lang w:val="es-ES"/>
        </w:rPr>
        <w:t>4K30</w:t>
      </w:r>
      <w:r w:rsidRPr="00E27029">
        <w:rPr>
          <w:rFonts w:ascii="Arial" w:hAnsi="Arial" w:cs="Arial"/>
          <w:lang w:val="es-ES"/>
        </w:rPr>
        <w:t xml:space="preserve">, monitorización inteligente, control directo de cámara, grabación proxy y transmisión en directo en un único monitor compacto, este nuevo dispositivo ofrece a cineastas, </w:t>
      </w:r>
      <w:proofErr w:type="spellStart"/>
      <w:r w:rsidRPr="00E27029">
        <w:rPr>
          <w:rFonts w:ascii="Arial" w:hAnsi="Arial" w:cs="Arial"/>
          <w:lang w:val="es-ES"/>
        </w:rPr>
        <w:t>broadcasters</w:t>
      </w:r>
      <w:proofErr w:type="spellEnd"/>
      <w:r w:rsidRPr="00E27029">
        <w:rPr>
          <w:rFonts w:ascii="Arial" w:hAnsi="Arial" w:cs="Arial"/>
          <w:lang w:val="es-ES"/>
        </w:rPr>
        <w:t xml:space="preserve"> y creadores de contenido una solución de producción más ágil y flexible, desde la captura hasta la entrega final.</w:t>
      </w:r>
    </w:p>
    <w:p w14:paraId="3E9843D7" w14:textId="77777777" w:rsidR="00A438FD" w:rsidRDefault="00A438FD" w:rsidP="00B661E3">
      <w:pPr>
        <w:jc w:val="both"/>
        <w:rPr>
          <w:rFonts w:ascii="Arial" w:hAnsi="Arial" w:cs="Arial"/>
          <w:lang w:val="es-ES"/>
        </w:rPr>
      </w:pPr>
    </w:p>
    <w:p w14:paraId="58726345" w14:textId="5EB771DE" w:rsidR="007D0808" w:rsidRPr="00FF08D8" w:rsidRDefault="007D0808" w:rsidP="00B661E3">
      <w:pPr>
        <w:jc w:val="both"/>
        <w:rPr>
          <w:rFonts w:ascii="Arial" w:hAnsi="Arial" w:cs="Arial"/>
          <w:b/>
          <w:bCs/>
          <w:lang w:val="es-ES"/>
        </w:rPr>
      </w:pPr>
      <w:r w:rsidRPr="00FF08D8">
        <w:rPr>
          <w:rFonts w:ascii="Arial" w:hAnsi="Arial" w:cs="Arial"/>
          <w:b/>
          <w:bCs/>
          <w:lang w:val="es-ES"/>
        </w:rPr>
        <w:t xml:space="preserve">Acerca de Hollyland </w:t>
      </w:r>
    </w:p>
    <w:p w14:paraId="6DBB6AAE" w14:textId="77777777" w:rsidR="00490947" w:rsidRPr="00FF08D8" w:rsidRDefault="00490947" w:rsidP="00B661E3">
      <w:pPr>
        <w:jc w:val="both"/>
        <w:rPr>
          <w:rFonts w:ascii="Arial" w:hAnsi="Arial" w:cs="Arial"/>
          <w:b/>
          <w:bCs/>
          <w:lang w:val="es-ES"/>
        </w:rPr>
      </w:pPr>
    </w:p>
    <w:p w14:paraId="3AC775EF" w14:textId="6098AB4A" w:rsidR="009654A5" w:rsidRPr="00FF08D8" w:rsidRDefault="00FF08D8" w:rsidP="009654A5">
      <w:pPr>
        <w:jc w:val="both"/>
        <w:rPr>
          <w:rFonts w:ascii="Arial" w:hAnsi="Arial" w:cs="Arial"/>
          <w:lang w:val="es-ES"/>
        </w:rPr>
      </w:pPr>
      <w:r w:rsidRPr="00FF08D8">
        <w:rPr>
          <w:rFonts w:ascii="Arial" w:hAnsi="Arial" w:cs="Arial"/>
          <w:lang w:val="es-ES"/>
        </w:rPr>
        <w:t>Hollyland es un proveedor líder de productos inalámbricos, especializado en sistemas de intercomunicación inalámbricos, sistemas de transmisión de video, monitores, micrófonos inalámbricos y cámaras para transmisión en vivo. Desde 2013, Hollyland ha estado sirviendo a millones de usuarios en todo el mundo en diversos sectores, incluyendo la cinematografía, la transmisión televisiva, la producción de video, eventos en vivo, exposiciones, teatros, lugares de culto y creadores de contenido individuales. Ha construido una red de ventas que abarca aproximadamente 150 países y regiones con el apoyo de docenas de oficinas de operación localizadas en todo el mundo.</w:t>
      </w:r>
    </w:p>
    <w:p w14:paraId="3F6D47C8" w14:textId="77777777" w:rsidR="00FF08D8" w:rsidRDefault="00FF08D8" w:rsidP="00A23FCF">
      <w:pPr>
        <w:spacing w:line="276" w:lineRule="auto"/>
        <w:jc w:val="both"/>
        <w:rPr>
          <w:rFonts w:ascii="Arial" w:eastAsia="Malgun Gothic" w:hAnsi="Arial" w:cs="Arial"/>
          <w:lang w:val="es-ES"/>
        </w:rPr>
      </w:pPr>
    </w:p>
    <w:p w14:paraId="097E55F2" w14:textId="610607FC" w:rsidR="00322093" w:rsidRPr="00FF08D8" w:rsidRDefault="00322093" w:rsidP="00A23FCF">
      <w:pPr>
        <w:spacing w:line="276" w:lineRule="auto"/>
        <w:jc w:val="both"/>
        <w:rPr>
          <w:rFonts w:ascii="Arial" w:eastAsia="Malgun Gothic" w:hAnsi="Arial" w:cs="Arial"/>
          <w:lang w:val="es-ES"/>
        </w:rPr>
      </w:pPr>
      <w:r w:rsidRPr="00322093">
        <w:rPr>
          <w:rFonts w:ascii="Arial" w:eastAsia="Malgun Gothic" w:hAnsi="Arial" w:cs="Arial"/>
          <w:lang w:val="es-ES"/>
        </w:rPr>
        <w:t xml:space="preserve">Puede encontrar más información sobre Hollyland en la web oficial y redes sociales de su distribuidor oficial en España, Rodolfo Biber, SA. </w:t>
      </w:r>
      <w:r w:rsidRPr="00FF08D8">
        <w:rPr>
          <w:rFonts w:ascii="Arial" w:eastAsia="Malgun Gothic" w:hAnsi="Arial" w:cs="Arial"/>
          <w:lang w:val="es-ES"/>
        </w:rPr>
        <w:t>(Robisa):</w:t>
      </w:r>
    </w:p>
    <w:p w14:paraId="625F1E92" w14:textId="77777777" w:rsidR="00322093" w:rsidRPr="00FF08D8" w:rsidRDefault="00322093" w:rsidP="00B661E3">
      <w:pPr>
        <w:spacing w:line="360" w:lineRule="auto"/>
        <w:jc w:val="both"/>
        <w:rPr>
          <w:rFonts w:ascii="Arial" w:eastAsia="Malgun Gothic" w:hAnsi="Arial" w:cs="Arial"/>
          <w:lang w:val="es-ES"/>
        </w:rPr>
      </w:pPr>
    </w:p>
    <w:p w14:paraId="197C7B0E" w14:textId="77777777" w:rsidR="008C6B19" w:rsidRPr="00B661E3" w:rsidRDefault="00663B53" w:rsidP="00B661E3">
      <w:pPr>
        <w:pStyle w:val="Prrafodelista"/>
        <w:numPr>
          <w:ilvl w:val="0"/>
          <w:numId w:val="3"/>
        </w:numPr>
        <w:spacing w:line="360" w:lineRule="auto"/>
        <w:jc w:val="both"/>
        <w:rPr>
          <w:rFonts w:ascii="Arial" w:eastAsia="PMingLiU" w:hAnsi="Arial" w:cs="Arial"/>
        </w:rPr>
      </w:pPr>
      <w:r w:rsidRPr="00B661E3">
        <w:rPr>
          <w:rFonts w:ascii="Arial" w:eastAsiaTheme="minorHAnsi" w:hAnsi="Arial" w:cs="Arial"/>
        </w:rPr>
        <w:t>Web:</w:t>
      </w:r>
      <w:r w:rsidRPr="00B661E3">
        <w:rPr>
          <w:rFonts w:ascii="Arial" w:hAnsi="Arial" w:cs="Arial"/>
        </w:rPr>
        <w:t xml:space="preserve"> </w:t>
      </w:r>
      <w:hyperlink r:id="rId11" w:history="1">
        <w:r w:rsidRPr="00B661E3">
          <w:rPr>
            <w:rStyle w:val="Hipervnculo"/>
            <w:rFonts w:ascii="Arial" w:hAnsi="Arial" w:cs="Arial"/>
          </w:rPr>
          <w:t>https://www.robisa.es/hollyland/</w:t>
        </w:r>
      </w:hyperlink>
      <w:r w:rsidRPr="00B661E3">
        <w:rPr>
          <w:rFonts w:ascii="Arial" w:hAnsi="Arial" w:cs="Arial"/>
        </w:rPr>
        <w:t xml:space="preserve"> </w:t>
      </w:r>
    </w:p>
    <w:p w14:paraId="3E6BB553" w14:textId="77777777" w:rsidR="008C6B19" w:rsidRPr="00B661E3" w:rsidRDefault="00663B53" w:rsidP="00B661E3">
      <w:pPr>
        <w:pStyle w:val="Prrafodelista"/>
        <w:numPr>
          <w:ilvl w:val="0"/>
          <w:numId w:val="3"/>
        </w:numPr>
        <w:spacing w:line="360" w:lineRule="auto"/>
        <w:jc w:val="both"/>
        <w:rPr>
          <w:rFonts w:ascii="Arial" w:eastAsia="PMingLiU" w:hAnsi="Arial" w:cs="Arial"/>
        </w:rPr>
      </w:pPr>
      <w:r w:rsidRPr="00B661E3">
        <w:rPr>
          <w:rFonts w:ascii="Arial" w:eastAsiaTheme="minorHAnsi" w:hAnsi="Arial" w:cs="Arial"/>
        </w:rPr>
        <w:lastRenderedPageBreak/>
        <w:t xml:space="preserve">Shop: </w:t>
      </w:r>
      <w:hyperlink r:id="rId12" w:history="1">
        <w:r w:rsidRPr="00B661E3">
          <w:rPr>
            <w:rStyle w:val="Hipervnculo"/>
            <w:rFonts w:ascii="Arial" w:eastAsiaTheme="minorHAnsi" w:hAnsi="Arial" w:cs="Arial"/>
          </w:rPr>
          <w:t>https://www.robisa.es/shop/123-hollyland</w:t>
        </w:r>
      </w:hyperlink>
    </w:p>
    <w:p w14:paraId="5F1FDB48" w14:textId="77777777" w:rsidR="008C6B19" w:rsidRPr="00B661E3" w:rsidRDefault="00663B53" w:rsidP="00B661E3">
      <w:pPr>
        <w:pStyle w:val="Prrafodelista"/>
        <w:numPr>
          <w:ilvl w:val="0"/>
          <w:numId w:val="3"/>
        </w:numPr>
        <w:spacing w:line="360" w:lineRule="auto"/>
        <w:jc w:val="both"/>
        <w:rPr>
          <w:rFonts w:ascii="Arial" w:eastAsia="PMingLiU" w:hAnsi="Arial" w:cs="Arial"/>
        </w:rPr>
      </w:pPr>
      <w:r w:rsidRPr="00B661E3">
        <w:rPr>
          <w:rFonts w:ascii="Arial" w:eastAsiaTheme="minorHAnsi" w:hAnsi="Arial" w:cs="Arial"/>
        </w:rPr>
        <w:t xml:space="preserve">Facebook: </w:t>
      </w:r>
      <w:hyperlink r:id="rId13" w:history="1">
        <w:r w:rsidRPr="00B661E3">
          <w:rPr>
            <w:rStyle w:val="Hipervnculo"/>
            <w:rFonts w:ascii="Arial" w:eastAsiaTheme="minorHAnsi" w:hAnsi="Arial" w:cs="Arial"/>
          </w:rPr>
          <w:t>@robisa</w:t>
        </w:r>
      </w:hyperlink>
    </w:p>
    <w:p w14:paraId="56BC4A23" w14:textId="77777777" w:rsidR="008C6B19" w:rsidRPr="00B661E3" w:rsidRDefault="00663B53" w:rsidP="00B661E3">
      <w:pPr>
        <w:pStyle w:val="Prrafodelista"/>
        <w:numPr>
          <w:ilvl w:val="0"/>
          <w:numId w:val="3"/>
        </w:numPr>
        <w:spacing w:line="360" w:lineRule="auto"/>
        <w:jc w:val="both"/>
        <w:rPr>
          <w:rFonts w:ascii="Arial" w:eastAsia="PMingLiU" w:hAnsi="Arial" w:cs="Arial"/>
        </w:rPr>
      </w:pPr>
      <w:r w:rsidRPr="00B661E3">
        <w:rPr>
          <w:rFonts w:ascii="Arial" w:eastAsiaTheme="minorHAnsi" w:hAnsi="Arial" w:cs="Arial"/>
        </w:rPr>
        <w:t xml:space="preserve">Instagram: </w:t>
      </w:r>
      <w:hyperlink r:id="rId14" w:history="1">
        <w:r w:rsidRPr="00B661E3">
          <w:rPr>
            <w:rStyle w:val="Hipervnculo"/>
            <w:rFonts w:ascii="Arial" w:eastAsiaTheme="minorHAnsi" w:hAnsi="Arial" w:cs="Arial"/>
          </w:rPr>
          <w:t>@robisa</w:t>
        </w:r>
      </w:hyperlink>
    </w:p>
    <w:p w14:paraId="0DCB281B" w14:textId="658A9142" w:rsidR="00663B53" w:rsidRPr="00B661E3" w:rsidRDefault="001708E3" w:rsidP="00B661E3">
      <w:pPr>
        <w:pStyle w:val="Prrafodelista"/>
        <w:numPr>
          <w:ilvl w:val="0"/>
          <w:numId w:val="3"/>
        </w:numPr>
        <w:spacing w:line="360" w:lineRule="auto"/>
        <w:jc w:val="both"/>
        <w:rPr>
          <w:rFonts w:ascii="Arial" w:eastAsia="PMingLiU" w:hAnsi="Arial" w:cs="Arial"/>
        </w:rPr>
      </w:pPr>
      <w:r>
        <w:rPr>
          <w:rFonts w:ascii="Arial" w:eastAsiaTheme="minorHAnsi" w:hAnsi="Arial" w:cs="Arial"/>
        </w:rPr>
        <w:t>X</w:t>
      </w:r>
      <w:r w:rsidR="00663B53" w:rsidRPr="00B661E3">
        <w:rPr>
          <w:rFonts w:ascii="Arial" w:eastAsiaTheme="minorHAnsi" w:hAnsi="Arial" w:cs="Arial"/>
        </w:rPr>
        <w:t xml:space="preserve">: </w:t>
      </w:r>
      <w:hyperlink r:id="rId15" w:history="1">
        <w:r w:rsidR="00663B53" w:rsidRPr="00B661E3">
          <w:rPr>
            <w:rStyle w:val="Hipervnculo"/>
            <w:rFonts w:ascii="Arial" w:eastAsiaTheme="minorHAnsi" w:hAnsi="Arial" w:cs="Arial"/>
          </w:rPr>
          <w:t>@robisa</w:t>
        </w:r>
      </w:hyperlink>
    </w:p>
    <w:p w14:paraId="22220FE4" w14:textId="77777777" w:rsidR="00663B53" w:rsidRPr="007F5C0D" w:rsidRDefault="00663B53" w:rsidP="00B661E3">
      <w:pPr>
        <w:jc w:val="both"/>
        <w:rPr>
          <w:rFonts w:ascii="Arial" w:hAnsi="Arial" w:cs="Arial"/>
        </w:rPr>
      </w:pPr>
    </w:p>
    <w:sectPr w:rsidR="00663B53" w:rsidRPr="007F5C0D">
      <w:headerReference w:type="default" r:id="rId16"/>
      <w:footerReference w:type="default" r:id="rId17"/>
      <w:pgSz w:w="12240" w:h="15840"/>
      <w:pgMar w:top="1134"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1C48D" w14:textId="77777777" w:rsidR="004863D3" w:rsidRDefault="004863D3">
      <w:r>
        <w:separator/>
      </w:r>
    </w:p>
  </w:endnote>
  <w:endnote w:type="continuationSeparator" w:id="0">
    <w:p w14:paraId="445A54D5" w14:textId="77777777" w:rsidR="004863D3" w:rsidRDefault="004863D3">
      <w:r>
        <w:continuationSeparator/>
      </w:r>
    </w:p>
  </w:endnote>
  <w:endnote w:type="continuationNotice" w:id="1">
    <w:p w14:paraId="2425566F" w14:textId="77777777" w:rsidR="004863D3" w:rsidRDefault="00486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panose1 w:val="00000000000000000000"/>
    <w:charset w:val="00"/>
    <w:family w:val="modern"/>
    <w:notTrueType/>
    <w:pitch w:val="variable"/>
    <w:sig w:usb0="A000002F" w:usb1="40000048" w:usb2="00000000" w:usb3="00000000" w:csb0="0000011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Alata">
    <w:altName w:val="Cambria"/>
    <w:panose1 w:val="00000000000000000000"/>
    <w:charset w:val="00"/>
    <w:family w:val="roman"/>
    <w:notTrueType/>
    <w:pitch w:val="default"/>
  </w:font>
  <w:font w:name="Microsoft PhagsPa">
    <w:panose1 w:val="020B0502040204020203"/>
    <w:charset w:val="00"/>
    <w:family w:val="swiss"/>
    <w:pitch w:val="variable"/>
    <w:sig w:usb0="00000003" w:usb1="00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9AB94" w14:textId="77777777" w:rsidR="00347253" w:rsidRDefault="00347253" w:rsidP="00347253">
    <w:pPr>
      <w:pStyle w:val="Piedepgina"/>
      <w:jc w:val="center"/>
      <w:rPr>
        <w:rFonts w:ascii="Arial" w:hAnsi="Arial" w:cs="Arial"/>
        <w:sz w:val="14"/>
        <w:szCs w:val="14"/>
        <w:lang w:val="pt-PT"/>
      </w:rPr>
    </w:pPr>
    <w:r>
      <w:rPr>
        <w:rFonts w:ascii="Arial" w:hAnsi="Arial" w:cs="Arial"/>
        <w:sz w:val="14"/>
        <w:szCs w:val="14"/>
        <w:lang w:val="pt-PT"/>
      </w:rPr>
      <w:t>DISTRIBUIDOR OFICIAL:</w:t>
    </w:r>
    <w:r>
      <w:rPr>
        <w:rFonts w:ascii="Arial" w:hAnsi="Arial" w:cs="Arial"/>
        <w:sz w:val="14"/>
        <w:szCs w:val="14"/>
        <w:lang w:val="pt-PT"/>
      </w:rPr>
      <w:br/>
    </w:r>
  </w:p>
  <w:p w14:paraId="7E881DE9" w14:textId="77777777" w:rsidR="00347253" w:rsidRPr="00A97B08" w:rsidRDefault="00347253" w:rsidP="00347253">
    <w:pPr>
      <w:pStyle w:val="Piedepgina"/>
      <w:jc w:val="center"/>
      <w:rPr>
        <w:rFonts w:ascii="Arial" w:hAnsi="Arial" w:cs="Arial"/>
        <w:sz w:val="14"/>
        <w:szCs w:val="14"/>
        <w:lang w:val="pt-PT"/>
      </w:rPr>
    </w:pPr>
    <w:r w:rsidRPr="009E7BF8">
      <w:rPr>
        <w:rFonts w:ascii="Arial" w:hAnsi="Arial" w:cs="Arial"/>
        <w:sz w:val="14"/>
        <w:szCs w:val="14"/>
        <w:lang w:val="pt-PT"/>
      </w:rPr>
      <w:t xml:space="preserve">Rodolfo Biber, S.A.       Salcedo, 8     E - 28034 Madrid      Tel: +34 91 7292711      </w:t>
    </w:r>
    <w:hyperlink r:id="rId1" w:history="1">
      <w:r w:rsidRPr="009E7BF8">
        <w:rPr>
          <w:rStyle w:val="Hipervnculo"/>
          <w:rFonts w:ascii="Arial" w:hAnsi="Arial" w:cs="Arial"/>
          <w:sz w:val="14"/>
          <w:szCs w:val="14"/>
          <w:lang w:val="pt-PT"/>
        </w:rPr>
        <w:t>info@robisa.es</w:t>
      </w:r>
    </w:hyperlink>
    <w:r w:rsidRPr="009E7BF8">
      <w:rPr>
        <w:rFonts w:ascii="Arial" w:hAnsi="Arial" w:cs="Arial"/>
        <w:sz w:val="14"/>
        <w:szCs w:val="14"/>
        <w:lang w:val="pt-PT"/>
      </w:rPr>
      <w:t xml:space="preserve">      </w:t>
    </w:r>
    <w:hyperlink r:id="rId2" w:history="1">
      <w:r w:rsidRPr="009E7BF8">
        <w:rPr>
          <w:rStyle w:val="Hipervnculo"/>
          <w:rFonts w:ascii="Arial" w:hAnsi="Arial" w:cs="Arial"/>
          <w:sz w:val="14"/>
          <w:szCs w:val="14"/>
          <w:lang w:val="pt-PT"/>
        </w:rPr>
        <w:t>www.robisa.es</w:t>
      </w:r>
    </w:hyperlink>
  </w:p>
  <w:p w14:paraId="035C7422" w14:textId="77777777" w:rsidR="00347253" w:rsidRPr="00347253" w:rsidRDefault="00347253">
    <w:pPr>
      <w:pStyle w:val="Piedepgina"/>
      <w:rPr>
        <w:lang w:val="pt-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A30DB" w14:textId="77777777" w:rsidR="004863D3" w:rsidRDefault="004863D3">
      <w:r>
        <w:separator/>
      </w:r>
    </w:p>
  </w:footnote>
  <w:footnote w:type="continuationSeparator" w:id="0">
    <w:p w14:paraId="10D21456" w14:textId="77777777" w:rsidR="004863D3" w:rsidRDefault="004863D3">
      <w:r>
        <w:continuationSeparator/>
      </w:r>
    </w:p>
  </w:footnote>
  <w:footnote w:type="continuationNotice" w:id="1">
    <w:p w14:paraId="7B61C002" w14:textId="77777777" w:rsidR="004863D3" w:rsidRDefault="004863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03710" w14:textId="126E9F58" w:rsidR="00A34580" w:rsidRDefault="00A34580">
    <w:pPr>
      <w:pStyle w:val="HeaderFooter"/>
    </w:pPr>
  </w:p>
  <w:p w14:paraId="0FE5B92A" w14:textId="7FD47E7E" w:rsidR="00C8082F" w:rsidRDefault="00C8082F" w:rsidP="00C8082F">
    <w:pPr>
      <w:pStyle w:val="HeaderFooter"/>
      <w:jc w:val="center"/>
    </w:pPr>
  </w:p>
  <w:p w14:paraId="77FBAF1D" w14:textId="16059579" w:rsidR="00CE1571" w:rsidRDefault="00B229DE" w:rsidP="00C8082F">
    <w:pPr>
      <w:pStyle w:val="HeaderFooter"/>
      <w:jc w:val="center"/>
    </w:pPr>
    <w:r>
      <w:rPr>
        <w:noProof/>
      </w:rPr>
      <w:drawing>
        <wp:anchor distT="0" distB="0" distL="114300" distR="114300" simplePos="0" relativeHeight="251658241" behindDoc="0" locked="0" layoutInCell="1" allowOverlap="1" wp14:anchorId="620760D2" wp14:editId="5996352B">
          <wp:simplePos x="0" y="0"/>
          <wp:positionH relativeFrom="margin">
            <wp:posOffset>4628515</wp:posOffset>
          </wp:positionH>
          <wp:positionV relativeFrom="paragraph">
            <wp:posOffset>5080</wp:posOffset>
          </wp:positionV>
          <wp:extent cx="1627505" cy="525145"/>
          <wp:effectExtent l="0" t="0" r="0" b="0"/>
          <wp:wrapSquare wrapText="bothSides"/>
          <wp:docPr id="28384390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7505" cy="525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lata" w:eastAsia="Times New Roman" w:hAnsi="Alata" w:cs="Times New Roman"/>
        <w:noProof/>
        <w:color w:val="30393F"/>
      </w:rPr>
      <w:drawing>
        <wp:anchor distT="0" distB="0" distL="114300" distR="114300" simplePos="0" relativeHeight="251658240" behindDoc="0" locked="0" layoutInCell="1" allowOverlap="1" wp14:anchorId="19A3A8E6" wp14:editId="11AA5D5D">
          <wp:simplePos x="0" y="0"/>
          <wp:positionH relativeFrom="margin">
            <wp:posOffset>-190500</wp:posOffset>
          </wp:positionH>
          <wp:positionV relativeFrom="paragraph">
            <wp:posOffset>47625</wp:posOffset>
          </wp:positionV>
          <wp:extent cx="2049145" cy="425450"/>
          <wp:effectExtent l="0" t="0" r="8255" b="0"/>
          <wp:wrapSquare wrapText="bothSides"/>
          <wp:docPr id="166829025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49145" cy="425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EFBF97" w14:textId="2CD8891A" w:rsidR="0070408F" w:rsidRPr="009367F5" w:rsidRDefault="00D31E79" w:rsidP="00D31E79">
    <w:pPr>
      <w:pStyle w:val="HeaderFooter"/>
      <w:rPr>
        <w:rFonts w:ascii="Microsoft PhagsPa" w:hAnsi="Microsoft PhagsPa"/>
      </w:rPr>
    </w:pPr>
    <w:r>
      <w:rPr>
        <w:rFonts w:ascii="Microsoft PhagsPa" w:hAnsi="Microsoft PhagsPa"/>
      </w:rPr>
      <w:t xml:space="preserve">    </w:t>
    </w:r>
    <w:r w:rsidR="00C8082F" w:rsidRPr="009367F5">
      <w:rPr>
        <w:rFonts w:ascii="Microsoft PhagsPa" w:hAnsi="Microsoft PhagsPa"/>
      </w:rPr>
      <w:t>COMUNICADO DE PRENSA</w:t>
    </w:r>
  </w:p>
  <w:p w14:paraId="363DCF27" w14:textId="0B7E99D0" w:rsidR="00C8082F" w:rsidRDefault="00C8082F" w:rsidP="00C8082F">
    <w:pPr>
      <w:pStyle w:val="HeaderFoot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5" style="width:0;height:1.5pt" o:hralign="center" o:bullet="t" o:hrstd="t" o:hr="t" fillcolor="#a0a0a0" stroked="f"/>
    </w:pict>
  </w:numPicBullet>
  <w:abstractNum w:abstractNumId="0" w15:restartNumberingAfterBreak="0">
    <w:nsid w:val="017D4F39"/>
    <w:multiLevelType w:val="multilevel"/>
    <w:tmpl w:val="E78A1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AC25AF"/>
    <w:multiLevelType w:val="multilevel"/>
    <w:tmpl w:val="B9D47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4F4AF4"/>
    <w:multiLevelType w:val="multilevel"/>
    <w:tmpl w:val="8BC21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676DB3"/>
    <w:multiLevelType w:val="multilevel"/>
    <w:tmpl w:val="5B543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C570C2"/>
    <w:multiLevelType w:val="multilevel"/>
    <w:tmpl w:val="47F4E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F66B6B"/>
    <w:multiLevelType w:val="multilevel"/>
    <w:tmpl w:val="86946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F7307F"/>
    <w:multiLevelType w:val="hybridMultilevel"/>
    <w:tmpl w:val="63D8C238"/>
    <w:lvl w:ilvl="0" w:tplc="83CA7E22">
      <w:numFmt w:val="bullet"/>
      <w:lvlText w:val=""/>
      <w:lvlJc w:val="left"/>
      <w:pPr>
        <w:ind w:left="720" w:hanging="360"/>
      </w:pPr>
      <w:rPr>
        <w:rFonts w:ascii="Symbol" w:eastAsiaTheme="minorHAnsi" w:hAnsi="Symbol"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FD45B82"/>
    <w:multiLevelType w:val="multilevel"/>
    <w:tmpl w:val="A1306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F4601D"/>
    <w:multiLevelType w:val="multilevel"/>
    <w:tmpl w:val="FFE0E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70A50"/>
    <w:multiLevelType w:val="multilevel"/>
    <w:tmpl w:val="87B81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430DC9"/>
    <w:multiLevelType w:val="multilevel"/>
    <w:tmpl w:val="264A5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496B7E"/>
    <w:multiLevelType w:val="multilevel"/>
    <w:tmpl w:val="3F04C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D27E8F"/>
    <w:multiLevelType w:val="multilevel"/>
    <w:tmpl w:val="2EDC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D84BD6"/>
    <w:multiLevelType w:val="hybridMultilevel"/>
    <w:tmpl w:val="07F818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21B1350"/>
    <w:multiLevelType w:val="multilevel"/>
    <w:tmpl w:val="23501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5D0558"/>
    <w:multiLevelType w:val="multilevel"/>
    <w:tmpl w:val="3BE2D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7639AB"/>
    <w:multiLevelType w:val="multilevel"/>
    <w:tmpl w:val="46849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2F5919"/>
    <w:multiLevelType w:val="multilevel"/>
    <w:tmpl w:val="A0380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ADCABA"/>
    <w:multiLevelType w:val="multilevel"/>
    <w:tmpl w:val="59ADCABA"/>
    <w:lvl w:ilvl="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lvlText w:val="◦"/>
      <w:lvlJc w:val="left"/>
      <w:pPr>
        <w:tabs>
          <w:tab w:val="left" w:pos="720"/>
        </w:tabs>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lvlText w:val="▪"/>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lvlText w:val="·"/>
      <w:lvlJc w:val="left"/>
      <w:pPr>
        <w:tabs>
          <w:tab w:val="left" w:pos="720"/>
        </w:tabs>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lvlText w:val="▪"/>
      <w:lvlJc w:val="left"/>
      <w:pPr>
        <w:tabs>
          <w:tab w:val="left" w:pos="720"/>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lvlText w:val="◦"/>
      <w:lvlJc w:val="left"/>
      <w:pPr>
        <w:tabs>
          <w:tab w:val="left" w:pos="720"/>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5AF81924"/>
    <w:multiLevelType w:val="multilevel"/>
    <w:tmpl w:val="5888D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3731B9"/>
    <w:multiLevelType w:val="multilevel"/>
    <w:tmpl w:val="826CD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1F3FA1"/>
    <w:multiLevelType w:val="multilevel"/>
    <w:tmpl w:val="7F100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390631"/>
    <w:multiLevelType w:val="multilevel"/>
    <w:tmpl w:val="46CA4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7D677C"/>
    <w:multiLevelType w:val="multilevel"/>
    <w:tmpl w:val="97063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0F07CB"/>
    <w:multiLevelType w:val="multilevel"/>
    <w:tmpl w:val="2EDE5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5941F4"/>
    <w:multiLevelType w:val="multilevel"/>
    <w:tmpl w:val="D3D62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CC3099"/>
    <w:multiLevelType w:val="multilevel"/>
    <w:tmpl w:val="2B884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244B9A"/>
    <w:multiLevelType w:val="multilevel"/>
    <w:tmpl w:val="28B2B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0176956">
    <w:abstractNumId w:val="18"/>
  </w:num>
  <w:num w:numId="2" w16cid:durableId="2099253173">
    <w:abstractNumId w:val="13"/>
  </w:num>
  <w:num w:numId="3" w16cid:durableId="2012634092">
    <w:abstractNumId w:val="6"/>
  </w:num>
  <w:num w:numId="4" w16cid:durableId="312761919">
    <w:abstractNumId w:val="9"/>
  </w:num>
  <w:num w:numId="5" w16cid:durableId="1931159232">
    <w:abstractNumId w:val="7"/>
  </w:num>
  <w:num w:numId="6" w16cid:durableId="1470708962">
    <w:abstractNumId w:val="15"/>
  </w:num>
  <w:num w:numId="7" w16cid:durableId="834028719">
    <w:abstractNumId w:val="10"/>
  </w:num>
  <w:num w:numId="8" w16cid:durableId="952785931">
    <w:abstractNumId w:val="2"/>
  </w:num>
  <w:num w:numId="9" w16cid:durableId="2118132279">
    <w:abstractNumId w:val="23"/>
  </w:num>
  <w:num w:numId="10" w16cid:durableId="1638340332">
    <w:abstractNumId w:val="19"/>
  </w:num>
  <w:num w:numId="11" w16cid:durableId="740833486">
    <w:abstractNumId w:val="11"/>
  </w:num>
  <w:num w:numId="12" w16cid:durableId="792482695">
    <w:abstractNumId w:val="27"/>
  </w:num>
  <w:num w:numId="13" w16cid:durableId="137308879">
    <w:abstractNumId w:val="5"/>
  </w:num>
  <w:num w:numId="14" w16cid:durableId="329798773">
    <w:abstractNumId w:val="0"/>
  </w:num>
  <w:num w:numId="15" w16cid:durableId="1225944059">
    <w:abstractNumId w:val="16"/>
  </w:num>
  <w:num w:numId="16" w16cid:durableId="1119834689">
    <w:abstractNumId w:val="8"/>
  </w:num>
  <w:num w:numId="17" w16cid:durableId="179317023">
    <w:abstractNumId w:val="20"/>
  </w:num>
  <w:num w:numId="18" w16cid:durableId="2139755508">
    <w:abstractNumId w:val="25"/>
  </w:num>
  <w:num w:numId="19" w16cid:durableId="275215258">
    <w:abstractNumId w:val="17"/>
  </w:num>
  <w:num w:numId="20" w16cid:durableId="1316716094">
    <w:abstractNumId w:val="3"/>
  </w:num>
  <w:num w:numId="21" w16cid:durableId="803817160">
    <w:abstractNumId w:val="26"/>
  </w:num>
  <w:num w:numId="22" w16cid:durableId="743378125">
    <w:abstractNumId w:val="22"/>
  </w:num>
  <w:num w:numId="23" w16cid:durableId="387386799">
    <w:abstractNumId w:val="12"/>
  </w:num>
  <w:num w:numId="24" w16cid:durableId="1776944068">
    <w:abstractNumId w:val="14"/>
  </w:num>
  <w:num w:numId="25" w16cid:durableId="1574271873">
    <w:abstractNumId w:val="4"/>
  </w:num>
  <w:num w:numId="26" w16cid:durableId="1770198130">
    <w:abstractNumId w:val="21"/>
  </w:num>
  <w:num w:numId="27" w16cid:durableId="1430354241">
    <w:abstractNumId w:val="24"/>
  </w:num>
  <w:num w:numId="28" w16cid:durableId="3280272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autoHyphenation/>
  <w:hyphenationZone w:val="425"/>
  <w:characterSpacingControl w:val="doNotCompress"/>
  <w:noLineBreaksAfter w:lang="zh-CN" w:val="‘“(〔[{〈《「『【⦅〘〖«〝︵︷︹︻︽︿﹁﹃﹇﹙﹛﹝｢"/>
  <w:noLineBreaksBefore w:lang="zh-CN" w:va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RhZDU3NzU0ZTFiNzFkMWYzMGU5OTNlMjk4M2JhMmQifQ=="/>
  </w:docVars>
  <w:rsids>
    <w:rsidRoot w:val="00A13E4E"/>
    <w:rsid w:val="000048E7"/>
    <w:rsid w:val="00015039"/>
    <w:rsid w:val="0002169E"/>
    <w:rsid w:val="000242CD"/>
    <w:rsid w:val="0002548D"/>
    <w:rsid w:val="00025633"/>
    <w:rsid w:val="00042469"/>
    <w:rsid w:val="00055A24"/>
    <w:rsid w:val="00072016"/>
    <w:rsid w:val="00075A04"/>
    <w:rsid w:val="00086A7B"/>
    <w:rsid w:val="00092571"/>
    <w:rsid w:val="00094CE5"/>
    <w:rsid w:val="000C365A"/>
    <w:rsid w:val="000C3A55"/>
    <w:rsid w:val="000F45C8"/>
    <w:rsid w:val="00100AEC"/>
    <w:rsid w:val="00106989"/>
    <w:rsid w:val="00107A0F"/>
    <w:rsid w:val="0011720A"/>
    <w:rsid w:val="001177AF"/>
    <w:rsid w:val="00123E23"/>
    <w:rsid w:val="00133CFF"/>
    <w:rsid w:val="0013606C"/>
    <w:rsid w:val="00140829"/>
    <w:rsid w:val="00152487"/>
    <w:rsid w:val="001651E6"/>
    <w:rsid w:val="001708E3"/>
    <w:rsid w:val="0017457D"/>
    <w:rsid w:val="00184E25"/>
    <w:rsid w:val="00186861"/>
    <w:rsid w:val="00193914"/>
    <w:rsid w:val="00197CEB"/>
    <w:rsid w:val="001A0D6F"/>
    <w:rsid w:val="001B3565"/>
    <w:rsid w:val="001D1364"/>
    <w:rsid w:val="001F15AA"/>
    <w:rsid w:val="001F4114"/>
    <w:rsid w:val="001F7EE5"/>
    <w:rsid w:val="00210D91"/>
    <w:rsid w:val="00216448"/>
    <w:rsid w:val="00224AFF"/>
    <w:rsid w:val="00232BCE"/>
    <w:rsid w:val="00232F48"/>
    <w:rsid w:val="0025126F"/>
    <w:rsid w:val="002530AF"/>
    <w:rsid w:val="002B6B12"/>
    <w:rsid w:val="002C35D0"/>
    <w:rsid w:val="003019CC"/>
    <w:rsid w:val="00302690"/>
    <w:rsid w:val="00307992"/>
    <w:rsid w:val="00314902"/>
    <w:rsid w:val="00322093"/>
    <w:rsid w:val="00326A16"/>
    <w:rsid w:val="00327745"/>
    <w:rsid w:val="00346DD2"/>
    <w:rsid w:val="00347253"/>
    <w:rsid w:val="00351C8C"/>
    <w:rsid w:val="00373D03"/>
    <w:rsid w:val="0038021E"/>
    <w:rsid w:val="003823AE"/>
    <w:rsid w:val="00392257"/>
    <w:rsid w:val="0039357A"/>
    <w:rsid w:val="003A2F44"/>
    <w:rsid w:val="003B5C82"/>
    <w:rsid w:val="003B67EB"/>
    <w:rsid w:val="003C48A6"/>
    <w:rsid w:val="003D6795"/>
    <w:rsid w:val="00402869"/>
    <w:rsid w:val="00406B92"/>
    <w:rsid w:val="004137ED"/>
    <w:rsid w:val="0041488B"/>
    <w:rsid w:val="00417495"/>
    <w:rsid w:val="004407CC"/>
    <w:rsid w:val="0044491C"/>
    <w:rsid w:val="00451D6A"/>
    <w:rsid w:val="00456676"/>
    <w:rsid w:val="0046619D"/>
    <w:rsid w:val="0047308A"/>
    <w:rsid w:val="0047309D"/>
    <w:rsid w:val="0047654B"/>
    <w:rsid w:val="00481394"/>
    <w:rsid w:val="00482E14"/>
    <w:rsid w:val="00483DF5"/>
    <w:rsid w:val="004863D3"/>
    <w:rsid w:val="0048730C"/>
    <w:rsid w:val="00490947"/>
    <w:rsid w:val="00496795"/>
    <w:rsid w:val="004B41DB"/>
    <w:rsid w:val="004C1C5E"/>
    <w:rsid w:val="004D1F3E"/>
    <w:rsid w:val="004D686C"/>
    <w:rsid w:val="004E375C"/>
    <w:rsid w:val="004E6CD2"/>
    <w:rsid w:val="004E746E"/>
    <w:rsid w:val="004F572E"/>
    <w:rsid w:val="005008EF"/>
    <w:rsid w:val="005028A1"/>
    <w:rsid w:val="00504D9D"/>
    <w:rsid w:val="00512F33"/>
    <w:rsid w:val="005279BF"/>
    <w:rsid w:val="00537B54"/>
    <w:rsid w:val="0055234A"/>
    <w:rsid w:val="0056032C"/>
    <w:rsid w:val="005612CB"/>
    <w:rsid w:val="005624FE"/>
    <w:rsid w:val="00563933"/>
    <w:rsid w:val="00580FCD"/>
    <w:rsid w:val="00582812"/>
    <w:rsid w:val="00594920"/>
    <w:rsid w:val="00597DEC"/>
    <w:rsid w:val="005A4EB9"/>
    <w:rsid w:val="005B44A1"/>
    <w:rsid w:val="005B51DC"/>
    <w:rsid w:val="005C4971"/>
    <w:rsid w:val="006104C4"/>
    <w:rsid w:val="00614055"/>
    <w:rsid w:val="00616CE9"/>
    <w:rsid w:val="00626124"/>
    <w:rsid w:val="006369EC"/>
    <w:rsid w:val="00660EA6"/>
    <w:rsid w:val="006631C3"/>
    <w:rsid w:val="00663B53"/>
    <w:rsid w:val="006875DE"/>
    <w:rsid w:val="006B4889"/>
    <w:rsid w:val="006C74AC"/>
    <w:rsid w:val="006D0F17"/>
    <w:rsid w:val="00701F19"/>
    <w:rsid w:val="0070408F"/>
    <w:rsid w:val="00706B22"/>
    <w:rsid w:val="0071356C"/>
    <w:rsid w:val="00716C83"/>
    <w:rsid w:val="0072471E"/>
    <w:rsid w:val="00725E89"/>
    <w:rsid w:val="00734D38"/>
    <w:rsid w:val="00761B0E"/>
    <w:rsid w:val="00777EA8"/>
    <w:rsid w:val="007865D7"/>
    <w:rsid w:val="007914CC"/>
    <w:rsid w:val="007A1166"/>
    <w:rsid w:val="007B759F"/>
    <w:rsid w:val="007C09DB"/>
    <w:rsid w:val="007C7E3B"/>
    <w:rsid w:val="007D0808"/>
    <w:rsid w:val="007D531E"/>
    <w:rsid w:val="007D5AAF"/>
    <w:rsid w:val="007F5C0D"/>
    <w:rsid w:val="008200AF"/>
    <w:rsid w:val="00840C93"/>
    <w:rsid w:val="00847FDC"/>
    <w:rsid w:val="00852E5C"/>
    <w:rsid w:val="00853B0F"/>
    <w:rsid w:val="00862041"/>
    <w:rsid w:val="00876648"/>
    <w:rsid w:val="00890E31"/>
    <w:rsid w:val="008A7656"/>
    <w:rsid w:val="008B2563"/>
    <w:rsid w:val="008B6A65"/>
    <w:rsid w:val="008C1752"/>
    <w:rsid w:val="008C3090"/>
    <w:rsid w:val="008C6B19"/>
    <w:rsid w:val="008D5FA2"/>
    <w:rsid w:val="00901CBC"/>
    <w:rsid w:val="00903A19"/>
    <w:rsid w:val="00921399"/>
    <w:rsid w:val="009316FA"/>
    <w:rsid w:val="00934E92"/>
    <w:rsid w:val="009367F5"/>
    <w:rsid w:val="00943DD6"/>
    <w:rsid w:val="00962E68"/>
    <w:rsid w:val="009654A5"/>
    <w:rsid w:val="009846E2"/>
    <w:rsid w:val="00987B4F"/>
    <w:rsid w:val="009965BD"/>
    <w:rsid w:val="009A09CA"/>
    <w:rsid w:val="009A6ED6"/>
    <w:rsid w:val="009C1297"/>
    <w:rsid w:val="009F6FAB"/>
    <w:rsid w:val="00A13E4E"/>
    <w:rsid w:val="00A20BB9"/>
    <w:rsid w:val="00A23FCF"/>
    <w:rsid w:val="00A34580"/>
    <w:rsid w:val="00A438FD"/>
    <w:rsid w:val="00A51913"/>
    <w:rsid w:val="00A5663F"/>
    <w:rsid w:val="00A600EF"/>
    <w:rsid w:val="00A822DE"/>
    <w:rsid w:val="00A865D1"/>
    <w:rsid w:val="00A93692"/>
    <w:rsid w:val="00A95537"/>
    <w:rsid w:val="00AA17AA"/>
    <w:rsid w:val="00AB1EF8"/>
    <w:rsid w:val="00AB467E"/>
    <w:rsid w:val="00AB60C4"/>
    <w:rsid w:val="00AD64EF"/>
    <w:rsid w:val="00AE41D5"/>
    <w:rsid w:val="00B018EF"/>
    <w:rsid w:val="00B229DE"/>
    <w:rsid w:val="00B241FB"/>
    <w:rsid w:val="00B30BD4"/>
    <w:rsid w:val="00B316AB"/>
    <w:rsid w:val="00B31D12"/>
    <w:rsid w:val="00B362E5"/>
    <w:rsid w:val="00B36DA3"/>
    <w:rsid w:val="00B46AB8"/>
    <w:rsid w:val="00B47F3E"/>
    <w:rsid w:val="00B659B0"/>
    <w:rsid w:val="00B661E3"/>
    <w:rsid w:val="00B73DB2"/>
    <w:rsid w:val="00B746DA"/>
    <w:rsid w:val="00B9185A"/>
    <w:rsid w:val="00B93C63"/>
    <w:rsid w:val="00B93DAD"/>
    <w:rsid w:val="00BC5DCB"/>
    <w:rsid w:val="00BD4179"/>
    <w:rsid w:val="00BD6049"/>
    <w:rsid w:val="00BD79B6"/>
    <w:rsid w:val="00BE1437"/>
    <w:rsid w:val="00BE4099"/>
    <w:rsid w:val="00BE5FC6"/>
    <w:rsid w:val="00BE764F"/>
    <w:rsid w:val="00BF0598"/>
    <w:rsid w:val="00C01779"/>
    <w:rsid w:val="00C13F34"/>
    <w:rsid w:val="00C1479A"/>
    <w:rsid w:val="00C14C72"/>
    <w:rsid w:val="00C17294"/>
    <w:rsid w:val="00C305BD"/>
    <w:rsid w:val="00C404A9"/>
    <w:rsid w:val="00C43A5C"/>
    <w:rsid w:val="00C44CB2"/>
    <w:rsid w:val="00C66674"/>
    <w:rsid w:val="00C7010F"/>
    <w:rsid w:val="00C75049"/>
    <w:rsid w:val="00C8082F"/>
    <w:rsid w:val="00C82990"/>
    <w:rsid w:val="00C850B9"/>
    <w:rsid w:val="00C90B67"/>
    <w:rsid w:val="00C949D2"/>
    <w:rsid w:val="00C94D6A"/>
    <w:rsid w:val="00CA3E77"/>
    <w:rsid w:val="00CB4AC9"/>
    <w:rsid w:val="00CB4C3E"/>
    <w:rsid w:val="00CC614C"/>
    <w:rsid w:val="00CC6449"/>
    <w:rsid w:val="00CE1571"/>
    <w:rsid w:val="00CE1B0B"/>
    <w:rsid w:val="00CE2486"/>
    <w:rsid w:val="00CF517C"/>
    <w:rsid w:val="00D000B4"/>
    <w:rsid w:val="00D11AE5"/>
    <w:rsid w:val="00D22633"/>
    <w:rsid w:val="00D26BDD"/>
    <w:rsid w:val="00D31E79"/>
    <w:rsid w:val="00D369B1"/>
    <w:rsid w:val="00D453DF"/>
    <w:rsid w:val="00D80569"/>
    <w:rsid w:val="00D814A3"/>
    <w:rsid w:val="00D90EDD"/>
    <w:rsid w:val="00DA34C7"/>
    <w:rsid w:val="00DB6680"/>
    <w:rsid w:val="00DB71B5"/>
    <w:rsid w:val="00DE0C14"/>
    <w:rsid w:val="00DE4BB8"/>
    <w:rsid w:val="00DE59A4"/>
    <w:rsid w:val="00DE7FDB"/>
    <w:rsid w:val="00E055E7"/>
    <w:rsid w:val="00E10C57"/>
    <w:rsid w:val="00E27029"/>
    <w:rsid w:val="00E315B3"/>
    <w:rsid w:val="00E352E2"/>
    <w:rsid w:val="00E709FE"/>
    <w:rsid w:val="00E73FED"/>
    <w:rsid w:val="00E85387"/>
    <w:rsid w:val="00E94AFE"/>
    <w:rsid w:val="00E95D45"/>
    <w:rsid w:val="00EA02EA"/>
    <w:rsid w:val="00EA44FF"/>
    <w:rsid w:val="00EB0603"/>
    <w:rsid w:val="00EB7646"/>
    <w:rsid w:val="00EC0A72"/>
    <w:rsid w:val="00ED46F2"/>
    <w:rsid w:val="00EF7704"/>
    <w:rsid w:val="00F04941"/>
    <w:rsid w:val="00F13EDE"/>
    <w:rsid w:val="00F37D23"/>
    <w:rsid w:val="00F42128"/>
    <w:rsid w:val="00F57C85"/>
    <w:rsid w:val="00F676EA"/>
    <w:rsid w:val="00F76A45"/>
    <w:rsid w:val="00F86394"/>
    <w:rsid w:val="00FA354D"/>
    <w:rsid w:val="00FA41FE"/>
    <w:rsid w:val="00FA5A84"/>
    <w:rsid w:val="00FA718D"/>
    <w:rsid w:val="00FD4980"/>
    <w:rsid w:val="00FF08D8"/>
    <w:rsid w:val="00FF1277"/>
    <w:rsid w:val="105B264A"/>
    <w:rsid w:val="21CB06EF"/>
    <w:rsid w:val="280D33D0"/>
    <w:rsid w:val="2EFF2634"/>
    <w:rsid w:val="5B916E34"/>
    <w:rsid w:val="5F830468"/>
    <w:rsid w:val="5FD53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EFBF63"/>
  <w15:docId w15:val="{9E0ABAD2-406F-4617-95C1-B7EA01A19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s-ES" w:eastAsia="es-ES"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suppressAutoHyphens/>
    </w:pPr>
    <w:rPr>
      <w:rFonts w:cs="Arial Unicode MS"/>
      <w:color w:val="000000"/>
      <w:kern w:val="2"/>
      <w:sz w:val="24"/>
      <w:szCs w:val="24"/>
      <w:u w:color="000000"/>
      <w:lang w:val="en-US" w:eastAsia="zh-CN"/>
    </w:rPr>
  </w:style>
  <w:style w:type="paragraph" w:styleId="Ttulo1">
    <w:name w:val="heading 1"/>
    <w:basedOn w:val="Normal"/>
    <w:next w:val="Normal"/>
    <w:link w:val="Ttulo1Car"/>
    <w:qFormat/>
    <w:rsid w:val="00B362E5"/>
    <w:pPr>
      <w:keepNext/>
      <w:keepLines/>
      <w:spacing w:before="240"/>
      <w:outlineLvl w:val="0"/>
    </w:pPr>
    <w:rPr>
      <w:rFonts w:asciiTheme="majorHAnsi" w:eastAsiaTheme="majorEastAsia" w:hAnsiTheme="majorHAnsi" w:cstheme="majorBidi"/>
      <w:color w:val="117A02" w:themeColor="accent1" w:themeShade="BF"/>
      <w:sz w:val="32"/>
      <w:szCs w:val="32"/>
    </w:rPr>
  </w:style>
  <w:style w:type="paragraph" w:styleId="Ttulo2">
    <w:name w:val="heading 2"/>
    <w:basedOn w:val="Normal"/>
    <w:next w:val="Normal"/>
    <w:link w:val="Ttulo2Car"/>
    <w:semiHidden/>
    <w:unhideWhenUsed/>
    <w:qFormat/>
    <w:rsid w:val="00504D9D"/>
    <w:pPr>
      <w:keepNext/>
      <w:keepLines/>
      <w:spacing w:before="40"/>
      <w:outlineLvl w:val="1"/>
    </w:pPr>
    <w:rPr>
      <w:rFonts w:asciiTheme="majorHAnsi" w:eastAsiaTheme="majorEastAsia" w:hAnsiTheme="majorHAnsi" w:cstheme="majorBidi"/>
      <w:color w:val="117A02" w:themeColor="accent1" w:themeShade="BF"/>
      <w:sz w:val="26"/>
      <w:szCs w:val="26"/>
    </w:rPr>
  </w:style>
  <w:style w:type="paragraph" w:styleId="Ttulo3">
    <w:name w:val="heading 3"/>
    <w:next w:val="Textoindependiente"/>
    <w:qFormat/>
    <w:pPr>
      <w:keepNext/>
      <w:suppressAutoHyphens/>
      <w:spacing w:before="140" w:after="120"/>
      <w:outlineLvl w:val="2"/>
    </w:pPr>
    <w:rPr>
      <w:rFonts w:cs="Arial Unicode MS"/>
      <w:b/>
      <w:bCs/>
      <w:color w:val="000000"/>
      <w:kern w:val="2"/>
      <w:sz w:val="28"/>
      <w:szCs w:val="28"/>
      <w:u w:color="000000"/>
      <w:lang w:val="en-U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qFormat/>
    <w:pPr>
      <w:suppressAutoHyphens/>
      <w:spacing w:after="140" w:line="276" w:lineRule="auto"/>
    </w:pPr>
    <w:rPr>
      <w:rFonts w:cs="Arial Unicode MS"/>
      <w:color w:val="000000"/>
      <w:kern w:val="2"/>
      <w:sz w:val="24"/>
      <w:szCs w:val="24"/>
      <w:u w:color="000000"/>
      <w:lang w:val="en-US" w:eastAsia="zh-CN"/>
    </w:rPr>
  </w:style>
  <w:style w:type="paragraph" w:styleId="Textocomentario">
    <w:name w:val="annotation text"/>
    <w:basedOn w:val="Normal"/>
    <w:link w:val="TextocomentarioCar"/>
    <w:qFormat/>
  </w:style>
  <w:style w:type="paragraph" w:styleId="Asuntodelcomentario">
    <w:name w:val="annotation subject"/>
    <w:basedOn w:val="Textocomentario"/>
    <w:next w:val="Textocomentario"/>
    <w:link w:val="AsuntodelcomentarioCar"/>
    <w:rPr>
      <w:b/>
      <w:bCs/>
      <w:sz w:val="20"/>
      <w:szCs w:val="20"/>
    </w:rPr>
  </w:style>
  <w:style w:type="character" w:styleId="Hipervnculo">
    <w:name w:val="Hyperlink"/>
    <w:qFormat/>
    <w:rPr>
      <w:u w:val="single"/>
    </w:rPr>
  </w:style>
  <w:style w:type="character" w:styleId="Refdecomentario">
    <w:name w:val="annotation reference"/>
    <w:basedOn w:val="Fuentedeprrafopredeter"/>
    <w:rPr>
      <w:sz w:val="16"/>
      <w:szCs w:val="16"/>
    </w:rPr>
  </w:style>
  <w:style w:type="table" w:customStyle="1" w:styleId="TableNormal">
    <w:name w:val="Table Normal"/>
    <w:qFormat/>
    <w:tblPr>
      <w:tblCellMar>
        <w:top w:w="0" w:type="dxa"/>
        <w:left w:w="0" w:type="dxa"/>
        <w:bottom w:w="0" w:type="dxa"/>
        <w:right w:w="0" w:type="dxa"/>
      </w:tblCellMar>
    </w:tblPr>
  </w:style>
  <w:style w:type="paragraph" w:customStyle="1" w:styleId="HeaderFooter">
    <w:name w:val="Header &amp; Footer"/>
    <w:qFormat/>
    <w:pPr>
      <w:tabs>
        <w:tab w:val="right" w:pos="9020"/>
      </w:tabs>
    </w:pPr>
    <w:rPr>
      <w:rFonts w:ascii="Helvetica Neue" w:hAnsi="Helvetica Neue" w:cs="Arial Unicode MS"/>
      <w:color w:val="000000"/>
      <w:sz w:val="24"/>
      <w:szCs w:val="24"/>
      <w:lang w:val="en-GB" w:eastAsia="zh-CN"/>
    </w:rPr>
  </w:style>
  <w:style w:type="paragraph" w:customStyle="1" w:styleId="Default">
    <w:name w:val="Default"/>
    <w:qFormat/>
    <w:pPr>
      <w:spacing w:before="160" w:line="288" w:lineRule="auto"/>
    </w:pPr>
    <w:rPr>
      <w:rFonts w:ascii="Helvetica Neue" w:eastAsia="Helvetica Neue" w:hAnsi="Helvetica Neue" w:cs="Helvetica Neue"/>
      <w:color w:val="000000"/>
      <w:sz w:val="24"/>
      <w:szCs w:val="24"/>
      <w:lang w:val="en-GB" w:eastAsia="zh-CN"/>
    </w:rPr>
  </w:style>
  <w:style w:type="paragraph" w:customStyle="1" w:styleId="Revisin1">
    <w:name w:val="Revisión1"/>
    <w:hidden/>
    <w:uiPriority w:val="99"/>
    <w:unhideWhenUsed/>
    <w:rPr>
      <w:rFonts w:cs="Arial Unicode MS"/>
      <w:color w:val="000000"/>
      <w:kern w:val="2"/>
      <w:sz w:val="24"/>
      <w:szCs w:val="24"/>
      <w:u w:color="000000"/>
      <w:lang w:val="en-US" w:eastAsia="zh-CN"/>
    </w:rPr>
  </w:style>
  <w:style w:type="character" w:customStyle="1" w:styleId="TextocomentarioCar">
    <w:name w:val="Texto comentario Car"/>
    <w:basedOn w:val="Fuentedeprrafopredeter"/>
    <w:link w:val="Textocomentario"/>
    <w:rPr>
      <w:rFonts w:cs="Arial Unicode MS"/>
      <w:color w:val="000000"/>
      <w:kern w:val="2"/>
      <w:sz w:val="24"/>
      <w:szCs w:val="24"/>
      <w:u w:color="000000"/>
      <w:lang w:val="en-US"/>
    </w:rPr>
  </w:style>
  <w:style w:type="character" w:customStyle="1" w:styleId="AsuntodelcomentarioCar">
    <w:name w:val="Asunto del comentario Car"/>
    <w:basedOn w:val="TextocomentarioCar"/>
    <w:link w:val="Asuntodelcomentario"/>
    <w:rPr>
      <w:rFonts w:cs="Arial Unicode MS"/>
      <w:b/>
      <w:bCs/>
      <w:color w:val="000000"/>
      <w:kern w:val="2"/>
      <w:sz w:val="24"/>
      <w:szCs w:val="24"/>
      <w:u w:color="000000"/>
      <w:lang w:val="en-US"/>
    </w:rPr>
  </w:style>
  <w:style w:type="paragraph" w:styleId="Encabezado">
    <w:name w:val="header"/>
    <w:basedOn w:val="Normal"/>
    <w:link w:val="EncabezadoCar"/>
    <w:rsid w:val="00A34580"/>
    <w:pPr>
      <w:tabs>
        <w:tab w:val="center" w:pos="4252"/>
        <w:tab w:val="right" w:pos="8504"/>
      </w:tabs>
    </w:pPr>
  </w:style>
  <w:style w:type="character" w:customStyle="1" w:styleId="EncabezadoCar">
    <w:name w:val="Encabezado Car"/>
    <w:basedOn w:val="Fuentedeprrafopredeter"/>
    <w:link w:val="Encabezado"/>
    <w:rsid w:val="00A34580"/>
    <w:rPr>
      <w:rFonts w:cs="Arial Unicode MS"/>
      <w:color w:val="000000"/>
      <w:kern w:val="2"/>
      <w:sz w:val="24"/>
      <w:szCs w:val="24"/>
      <w:u w:color="000000"/>
      <w:lang w:val="en-US" w:eastAsia="zh-CN"/>
    </w:rPr>
  </w:style>
  <w:style w:type="paragraph" w:styleId="Piedepgina">
    <w:name w:val="footer"/>
    <w:basedOn w:val="Normal"/>
    <w:link w:val="PiedepginaCar"/>
    <w:rsid w:val="00A34580"/>
    <w:pPr>
      <w:tabs>
        <w:tab w:val="center" w:pos="4252"/>
        <w:tab w:val="right" w:pos="8504"/>
      </w:tabs>
    </w:pPr>
  </w:style>
  <w:style w:type="character" w:customStyle="1" w:styleId="PiedepginaCar">
    <w:name w:val="Pie de página Car"/>
    <w:basedOn w:val="Fuentedeprrafopredeter"/>
    <w:link w:val="Piedepgina"/>
    <w:rsid w:val="00A34580"/>
    <w:rPr>
      <w:rFonts w:cs="Arial Unicode MS"/>
      <w:color w:val="000000"/>
      <w:kern w:val="2"/>
      <w:sz w:val="24"/>
      <w:szCs w:val="24"/>
      <w:u w:color="000000"/>
      <w:lang w:val="en-US" w:eastAsia="zh-CN"/>
    </w:rPr>
  </w:style>
  <w:style w:type="paragraph" w:styleId="Prrafodelista">
    <w:name w:val="List Paragraph"/>
    <w:basedOn w:val="Normal"/>
    <w:uiPriority w:val="99"/>
    <w:unhideWhenUsed/>
    <w:rsid w:val="008C6B19"/>
    <w:pPr>
      <w:ind w:left="720"/>
      <w:contextualSpacing/>
    </w:pPr>
  </w:style>
  <w:style w:type="character" w:styleId="Mencinsinresolver">
    <w:name w:val="Unresolved Mention"/>
    <w:basedOn w:val="Fuentedeprrafopredeter"/>
    <w:uiPriority w:val="99"/>
    <w:semiHidden/>
    <w:unhideWhenUsed/>
    <w:rsid w:val="003C48A6"/>
    <w:rPr>
      <w:color w:val="605E5C"/>
      <w:shd w:val="clear" w:color="auto" w:fill="E1DFDD"/>
    </w:rPr>
  </w:style>
  <w:style w:type="character" w:styleId="Hipervnculovisitado">
    <w:name w:val="FollowedHyperlink"/>
    <w:basedOn w:val="Fuentedeprrafopredeter"/>
    <w:rsid w:val="003C48A6"/>
    <w:rPr>
      <w:color w:val="FF00FF" w:themeColor="followedHyperlink"/>
      <w:u w:val="single"/>
    </w:rPr>
  </w:style>
  <w:style w:type="paragraph" w:styleId="NormalWeb">
    <w:name w:val="Normal (Web)"/>
    <w:basedOn w:val="Normal"/>
    <w:rsid w:val="00BE1437"/>
    <w:rPr>
      <w:rFonts w:cs="Times New Roman"/>
    </w:rPr>
  </w:style>
  <w:style w:type="character" w:customStyle="1" w:styleId="Ttulo2Car">
    <w:name w:val="Título 2 Car"/>
    <w:basedOn w:val="Fuentedeprrafopredeter"/>
    <w:link w:val="Ttulo2"/>
    <w:semiHidden/>
    <w:rsid w:val="00504D9D"/>
    <w:rPr>
      <w:rFonts w:asciiTheme="majorHAnsi" w:eastAsiaTheme="majorEastAsia" w:hAnsiTheme="majorHAnsi" w:cstheme="majorBidi"/>
      <w:color w:val="117A02" w:themeColor="accent1" w:themeShade="BF"/>
      <w:kern w:val="2"/>
      <w:sz w:val="26"/>
      <w:szCs w:val="26"/>
      <w:u w:color="000000"/>
      <w:lang w:val="en-US" w:eastAsia="zh-CN"/>
    </w:rPr>
  </w:style>
  <w:style w:type="character" w:customStyle="1" w:styleId="Ttulo1Car">
    <w:name w:val="Título 1 Car"/>
    <w:basedOn w:val="Fuentedeprrafopredeter"/>
    <w:link w:val="Ttulo1"/>
    <w:rsid w:val="00B362E5"/>
    <w:rPr>
      <w:rFonts w:asciiTheme="majorHAnsi" w:eastAsiaTheme="majorEastAsia" w:hAnsiTheme="majorHAnsi" w:cstheme="majorBidi"/>
      <w:color w:val="117A02" w:themeColor="accent1" w:themeShade="BF"/>
      <w:kern w:val="2"/>
      <w:sz w:val="32"/>
      <w:szCs w:val="32"/>
      <w:u w:color="00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753948">
      <w:bodyDiv w:val="1"/>
      <w:marLeft w:val="0"/>
      <w:marRight w:val="0"/>
      <w:marTop w:val="0"/>
      <w:marBottom w:val="0"/>
      <w:divBdr>
        <w:top w:val="none" w:sz="0" w:space="0" w:color="auto"/>
        <w:left w:val="none" w:sz="0" w:space="0" w:color="auto"/>
        <w:bottom w:val="none" w:sz="0" w:space="0" w:color="auto"/>
        <w:right w:val="none" w:sz="0" w:space="0" w:color="auto"/>
      </w:divBdr>
    </w:div>
    <w:div w:id="136606603">
      <w:bodyDiv w:val="1"/>
      <w:marLeft w:val="0"/>
      <w:marRight w:val="0"/>
      <w:marTop w:val="0"/>
      <w:marBottom w:val="0"/>
      <w:divBdr>
        <w:top w:val="none" w:sz="0" w:space="0" w:color="auto"/>
        <w:left w:val="none" w:sz="0" w:space="0" w:color="auto"/>
        <w:bottom w:val="none" w:sz="0" w:space="0" w:color="auto"/>
        <w:right w:val="none" w:sz="0" w:space="0" w:color="auto"/>
      </w:divBdr>
    </w:div>
    <w:div w:id="193539886">
      <w:bodyDiv w:val="1"/>
      <w:marLeft w:val="0"/>
      <w:marRight w:val="0"/>
      <w:marTop w:val="0"/>
      <w:marBottom w:val="0"/>
      <w:divBdr>
        <w:top w:val="none" w:sz="0" w:space="0" w:color="auto"/>
        <w:left w:val="none" w:sz="0" w:space="0" w:color="auto"/>
        <w:bottom w:val="none" w:sz="0" w:space="0" w:color="auto"/>
        <w:right w:val="none" w:sz="0" w:space="0" w:color="auto"/>
      </w:divBdr>
    </w:div>
    <w:div w:id="257444854">
      <w:bodyDiv w:val="1"/>
      <w:marLeft w:val="0"/>
      <w:marRight w:val="0"/>
      <w:marTop w:val="0"/>
      <w:marBottom w:val="0"/>
      <w:divBdr>
        <w:top w:val="none" w:sz="0" w:space="0" w:color="auto"/>
        <w:left w:val="none" w:sz="0" w:space="0" w:color="auto"/>
        <w:bottom w:val="none" w:sz="0" w:space="0" w:color="auto"/>
        <w:right w:val="none" w:sz="0" w:space="0" w:color="auto"/>
      </w:divBdr>
    </w:div>
    <w:div w:id="318072033">
      <w:bodyDiv w:val="1"/>
      <w:marLeft w:val="0"/>
      <w:marRight w:val="0"/>
      <w:marTop w:val="0"/>
      <w:marBottom w:val="0"/>
      <w:divBdr>
        <w:top w:val="none" w:sz="0" w:space="0" w:color="auto"/>
        <w:left w:val="none" w:sz="0" w:space="0" w:color="auto"/>
        <w:bottom w:val="none" w:sz="0" w:space="0" w:color="auto"/>
        <w:right w:val="none" w:sz="0" w:space="0" w:color="auto"/>
      </w:divBdr>
    </w:div>
    <w:div w:id="326712200">
      <w:bodyDiv w:val="1"/>
      <w:marLeft w:val="0"/>
      <w:marRight w:val="0"/>
      <w:marTop w:val="0"/>
      <w:marBottom w:val="0"/>
      <w:divBdr>
        <w:top w:val="none" w:sz="0" w:space="0" w:color="auto"/>
        <w:left w:val="none" w:sz="0" w:space="0" w:color="auto"/>
        <w:bottom w:val="none" w:sz="0" w:space="0" w:color="auto"/>
        <w:right w:val="none" w:sz="0" w:space="0" w:color="auto"/>
      </w:divBdr>
      <w:divsChild>
        <w:div w:id="17544311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3236618">
      <w:bodyDiv w:val="1"/>
      <w:marLeft w:val="0"/>
      <w:marRight w:val="0"/>
      <w:marTop w:val="0"/>
      <w:marBottom w:val="0"/>
      <w:divBdr>
        <w:top w:val="none" w:sz="0" w:space="0" w:color="auto"/>
        <w:left w:val="none" w:sz="0" w:space="0" w:color="auto"/>
        <w:bottom w:val="none" w:sz="0" w:space="0" w:color="auto"/>
        <w:right w:val="none" w:sz="0" w:space="0" w:color="auto"/>
      </w:divBdr>
    </w:div>
    <w:div w:id="558713188">
      <w:bodyDiv w:val="1"/>
      <w:marLeft w:val="0"/>
      <w:marRight w:val="0"/>
      <w:marTop w:val="0"/>
      <w:marBottom w:val="0"/>
      <w:divBdr>
        <w:top w:val="none" w:sz="0" w:space="0" w:color="auto"/>
        <w:left w:val="none" w:sz="0" w:space="0" w:color="auto"/>
        <w:bottom w:val="none" w:sz="0" w:space="0" w:color="auto"/>
        <w:right w:val="none" w:sz="0" w:space="0" w:color="auto"/>
      </w:divBdr>
    </w:div>
    <w:div w:id="568656356">
      <w:bodyDiv w:val="1"/>
      <w:marLeft w:val="0"/>
      <w:marRight w:val="0"/>
      <w:marTop w:val="0"/>
      <w:marBottom w:val="0"/>
      <w:divBdr>
        <w:top w:val="none" w:sz="0" w:space="0" w:color="auto"/>
        <w:left w:val="none" w:sz="0" w:space="0" w:color="auto"/>
        <w:bottom w:val="none" w:sz="0" w:space="0" w:color="auto"/>
        <w:right w:val="none" w:sz="0" w:space="0" w:color="auto"/>
      </w:divBdr>
    </w:div>
    <w:div w:id="635263272">
      <w:bodyDiv w:val="1"/>
      <w:marLeft w:val="0"/>
      <w:marRight w:val="0"/>
      <w:marTop w:val="0"/>
      <w:marBottom w:val="0"/>
      <w:divBdr>
        <w:top w:val="none" w:sz="0" w:space="0" w:color="auto"/>
        <w:left w:val="none" w:sz="0" w:space="0" w:color="auto"/>
        <w:bottom w:val="none" w:sz="0" w:space="0" w:color="auto"/>
        <w:right w:val="none" w:sz="0" w:space="0" w:color="auto"/>
      </w:divBdr>
    </w:div>
    <w:div w:id="851342043">
      <w:bodyDiv w:val="1"/>
      <w:marLeft w:val="0"/>
      <w:marRight w:val="0"/>
      <w:marTop w:val="0"/>
      <w:marBottom w:val="0"/>
      <w:divBdr>
        <w:top w:val="none" w:sz="0" w:space="0" w:color="auto"/>
        <w:left w:val="none" w:sz="0" w:space="0" w:color="auto"/>
        <w:bottom w:val="none" w:sz="0" w:space="0" w:color="auto"/>
        <w:right w:val="none" w:sz="0" w:space="0" w:color="auto"/>
      </w:divBdr>
    </w:div>
    <w:div w:id="1157266589">
      <w:bodyDiv w:val="1"/>
      <w:marLeft w:val="0"/>
      <w:marRight w:val="0"/>
      <w:marTop w:val="0"/>
      <w:marBottom w:val="0"/>
      <w:divBdr>
        <w:top w:val="none" w:sz="0" w:space="0" w:color="auto"/>
        <w:left w:val="none" w:sz="0" w:space="0" w:color="auto"/>
        <w:bottom w:val="none" w:sz="0" w:space="0" w:color="auto"/>
        <w:right w:val="none" w:sz="0" w:space="0" w:color="auto"/>
      </w:divBdr>
    </w:div>
    <w:div w:id="1211306816">
      <w:bodyDiv w:val="1"/>
      <w:marLeft w:val="0"/>
      <w:marRight w:val="0"/>
      <w:marTop w:val="0"/>
      <w:marBottom w:val="0"/>
      <w:divBdr>
        <w:top w:val="none" w:sz="0" w:space="0" w:color="auto"/>
        <w:left w:val="none" w:sz="0" w:space="0" w:color="auto"/>
        <w:bottom w:val="none" w:sz="0" w:space="0" w:color="auto"/>
        <w:right w:val="none" w:sz="0" w:space="0" w:color="auto"/>
      </w:divBdr>
    </w:div>
    <w:div w:id="1226261830">
      <w:bodyDiv w:val="1"/>
      <w:marLeft w:val="0"/>
      <w:marRight w:val="0"/>
      <w:marTop w:val="0"/>
      <w:marBottom w:val="0"/>
      <w:divBdr>
        <w:top w:val="none" w:sz="0" w:space="0" w:color="auto"/>
        <w:left w:val="none" w:sz="0" w:space="0" w:color="auto"/>
        <w:bottom w:val="none" w:sz="0" w:space="0" w:color="auto"/>
        <w:right w:val="none" w:sz="0" w:space="0" w:color="auto"/>
      </w:divBdr>
    </w:div>
    <w:div w:id="1283227601">
      <w:bodyDiv w:val="1"/>
      <w:marLeft w:val="0"/>
      <w:marRight w:val="0"/>
      <w:marTop w:val="0"/>
      <w:marBottom w:val="0"/>
      <w:divBdr>
        <w:top w:val="none" w:sz="0" w:space="0" w:color="auto"/>
        <w:left w:val="none" w:sz="0" w:space="0" w:color="auto"/>
        <w:bottom w:val="none" w:sz="0" w:space="0" w:color="auto"/>
        <w:right w:val="none" w:sz="0" w:space="0" w:color="auto"/>
      </w:divBdr>
    </w:div>
    <w:div w:id="1295135441">
      <w:bodyDiv w:val="1"/>
      <w:marLeft w:val="0"/>
      <w:marRight w:val="0"/>
      <w:marTop w:val="0"/>
      <w:marBottom w:val="0"/>
      <w:divBdr>
        <w:top w:val="none" w:sz="0" w:space="0" w:color="auto"/>
        <w:left w:val="none" w:sz="0" w:space="0" w:color="auto"/>
        <w:bottom w:val="none" w:sz="0" w:space="0" w:color="auto"/>
        <w:right w:val="none" w:sz="0" w:space="0" w:color="auto"/>
      </w:divBdr>
      <w:divsChild>
        <w:div w:id="9652825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8265554">
      <w:bodyDiv w:val="1"/>
      <w:marLeft w:val="0"/>
      <w:marRight w:val="0"/>
      <w:marTop w:val="0"/>
      <w:marBottom w:val="0"/>
      <w:divBdr>
        <w:top w:val="none" w:sz="0" w:space="0" w:color="auto"/>
        <w:left w:val="none" w:sz="0" w:space="0" w:color="auto"/>
        <w:bottom w:val="none" w:sz="0" w:space="0" w:color="auto"/>
        <w:right w:val="none" w:sz="0" w:space="0" w:color="auto"/>
      </w:divBdr>
    </w:div>
    <w:div w:id="1343318047">
      <w:bodyDiv w:val="1"/>
      <w:marLeft w:val="0"/>
      <w:marRight w:val="0"/>
      <w:marTop w:val="0"/>
      <w:marBottom w:val="0"/>
      <w:divBdr>
        <w:top w:val="none" w:sz="0" w:space="0" w:color="auto"/>
        <w:left w:val="none" w:sz="0" w:space="0" w:color="auto"/>
        <w:bottom w:val="none" w:sz="0" w:space="0" w:color="auto"/>
        <w:right w:val="none" w:sz="0" w:space="0" w:color="auto"/>
      </w:divBdr>
    </w:div>
    <w:div w:id="1383990375">
      <w:bodyDiv w:val="1"/>
      <w:marLeft w:val="0"/>
      <w:marRight w:val="0"/>
      <w:marTop w:val="0"/>
      <w:marBottom w:val="0"/>
      <w:divBdr>
        <w:top w:val="none" w:sz="0" w:space="0" w:color="auto"/>
        <w:left w:val="none" w:sz="0" w:space="0" w:color="auto"/>
        <w:bottom w:val="none" w:sz="0" w:space="0" w:color="auto"/>
        <w:right w:val="none" w:sz="0" w:space="0" w:color="auto"/>
      </w:divBdr>
    </w:div>
    <w:div w:id="1411466360">
      <w:bodyDiv w:val="1"/>
      <w:marLeft w:val="0"/>
      <w:marRight w:val="0"/>
      <w:marTop w:val="0"/>
      <w:marBottom w:val="0"/>
      <w:divBdr>
        <w:top w:val="none" w:sz="0" w:space="0" w:color="auto"/>
        <w:left w:val="none" w:sz="0" w:space="0" w:color="auto"/>
        <w:bottom w:val="none" w:sz="0" w:space="0" w:color="auto"/>
        <w:right w:val="none" w:sz="0" w:space="0" w:color="auto"/>
      </w:divBdr>
      <w:divsChild>
        <w:div w:id="14048402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5588576">
      <w:bodyDiv w:val="1"/>
      <w:marLeft w:val="0"/>
      <w:marRight w:val="0"/>
      <w:marTop w:val="0"/>
      <w:marBottom w:val="0"/>
      <w:divBdr>
        <w:top w:val="none" w:sz="0" w:space="0" w:color="auto"/>
        <w:left w:val="none" w:sz="0" w:space="0" w:color="auto"/>
        <w:bottom w:val="none" w:sz="0" w:space="0" w:color="auto"/>
        <w:right w:val="none" w:sz="0" w:space="0" w:color="auto"/>
      </w:divBdr>
    </w:div>
    <w:div w:id="1467771444">
      <w:bodyDiv w:val="1"/>
      <w:marLeft w:val="0"/>
      <w:marRight w:val="0"/>
      <w:marTop w:val="0"/>
      <w:marBottom w:val="0"/>
      <w:divBdr>
        <w:top w:val="none" w:sz="0" w:space="0" w:color="auto"/>
        <w:left w:val="none" w:sz="0" w:space="0" w:color="auto"/>
        <w:bottom w:val="none" w:sz="0" w:space="0" w:color="auto"/>
        <w:right w:val="none" w:sz="0" w:space="0" w:color="auto"/>
      </w:divBdr>
      <w:divsChild>
        <w:div w:id="7821910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7498772">
      <w:bodyDiv w:val="1"/>
      <w:marLeft w:val="0"/>
      <w:marRight w:val="0"/>
      <w:marTop w:val="0"/>
      <w:marBottom w:val="0"/>
      <w:divBdr>
        <w:top w:val="none" w:sz="0" w:space="0" w:color="auto"/>
        <w:left w:val="none" w:sz="0" w:space="0" w:color="auto"/>
        <w:bottom w:val="none" w:sz="0" w:space="0" w:color="auto"/>
        <w:right w:val="none" w:sz="0" w:space="0" w:color="auto"/>
      </w:divBdr>
    </w:div>
    <w:div w:id="1588341677">
      <w:bodyDiv w:val="1"/>
      <w:marLeft w:val="0"/>
      <w:marRight w:val="0"/>
      <w:marTop w:val="0"/>
      <w:marBottom w:val="0"/>
      <w:divBdr>
        <w:top w:val="none" w:sz="0" w:space="0" w:color="auto"/>
        <w:left w:val="none" w:sz="0" w:space="0" w:color="auto"/>
        <w:bottom w:val="none" w:sz="0" w:space="0" w:color="auto"/>
        <w:right w:val="none" w:sz="0" w:space="0" w:color="auto"/>
      </w:divBdr>
    </w:div>
    <w:div w:id="1594124854">
      <w:bodyDiv w:val="1"/>
      <w:marLeft w:val="0"/>
      <w:marRight w:val="0"/>
      <w:marTop w:val="0"/>
      <w:marBottom w:val="0"/>
      <w:divBdr>
        <w:top w:val="none" w:sz="0" w:space="0" w:color="auto"/>
        <w:left w:val="none" w:sz="0" w:space="0" w:color="auto"/>
        <w:bottom w:val="none" w:sz="0" w:space="0" w:color="auto"/>
        <w:right w:val="none" w:sz="0" w:space="0" w:color="auto"/>
      </w:divBdr>
    </w:div>
    <w:div w:id="1602176022">
      <w:bodyDiv w:val="1"/>
      <w:marLeft w:val="0"/>
      <w:marRight w:val="0"/>
      <w:marTop w:val="0"/>
      <w:marBottom w:val="0"/>
      <w:divBdr>
        <w:top w:val="none" w:sz="0" w:space="0" w:color="auto"/>
        <w:left w:val="none" w:sz="0" w:space="0" w:color="auto"/>
        <w:bottom w:val="none" w:sz="0" w:space="0" w:color="auto"/>
        <w:right w:val="none" w:sz="0" w:space="0" w:color="auto"/>
      </w:divBdr>
    </w:div>
    <w:div w:id="1609697444">
      <w:bodyDiv w:val="1"/>
      <w:marLeft w:val="0"/>
      <w:marRight w:val="0"/>
      <w:marTop w:val="0"/>
      <w:marBottom w:val="0"/>
      <w:divBdr>
        <w:top w:val="none" w:sz="0" w:space="0" w:color="auto"/>
        <w:left w:val="none" w:sz="0" w:space="0" w:color="auto"/>
        <w:bottom w:val="none" w:sz="0" w:space="0" w:color="auto"/>
        <w:right w:val="none" w:sz="0" w:space="0" w:color="auto"/>
      </w:divBdr>
    </w:div>
    <w:div w:id="1612664139">
      <w:bodyDiv w:val="1"/>
      <w:marLeft w:val="0"/>
      <w:marRight w:val="0"/>
      <w:marTop w:val="0"/>
      <w:marBottom w:val="0"/>
      <w:divBdr>
        <w:top w:val="none" w:sz="0" w:space="0" w:color="auto"/>
        <w:left w:val="none" w:sz="0" w:space="0" w:color="auto"/>
        <w:bottom w:val="none" w:sz="0" w:space="0" w:color="auto"/>
        <w:right w:val="none" w:sz="0" w:space="0" w:color="auto"/>
      </w:divBdr>
    </w:div>
    <w:div w:id="1667854786">
      <w:bodyDiv w:val="1"/>
      <w:marLeft w:val="0"/>
      <w:marRight w:val="0"/>
      <w:marTop w:val="0"/>
      <w:marBottom w:val="0"/>
      <w:divBdr>
        <w:top w:val="none" w:sz="0" w:space="0" w:color="auto"/>
        <w:left w:val="none" w:sz="0" w:space="0" w:color="auto"/>
        <w:bottom w:val="none" w:sz="0" w:space="0" w:color="auto"/>
        <w:right w:val="none" w:sz="0" w:space="0" w:color="auto"/>
      </w:divBdr>
    </w:div>
    <w:div w:id="1763258942">
      <w:bodyDiv w:val="1"/>
      <w:marLeft w:val="0"/>
      <w:marRight w:val="0"/>
      <w:marTop w:val="0"/>
      <w:marBottom w:val="0"/>
      <w:divBdr>
        <w:top w:val="none" w:sz="0" w:space="0" w:color="auto"/>
        <w:left w:val="none" w:sz="0" w:space="0" w:color="auto"/>
        <w:bottom w:val="none" w:sz="0" w:space="0" w:color="auto"/>
        <w:right w:val="none" w:sz="0" w:space="0" w:color="auto"/>
      </w:divBdr>
    </w:div>
    <w:div w:id="1781946448">
      <w:bodyDiv w:val="1"/>
      <w:marLeft w:val="0"/>
      <w:marRight w:val="0"/>
      <w:marTop w:val="0"/>
      <w:marBottom w:val="0"/>
      <w:divBdr>
        <w:top w:val="none" w:sz="0" w:space="0" w:color="auto"/>
        <w:left w:val="none" w:sz="0" w:space="0" w:color="auto"/>
        <w:bottom w:val="none" w:sz="0" w:space="0" w:color="auto"/>
        <w:right w:val="none" w:sz="0" w:space="0" w:color="auto"/>
      </w:divBdr>
    </w:div>
    <w:div w:id="1809784950">
      <w:bodyDiv w:val="1"/>
      <w:marLeft w:val="0"/>
      <w:marRight w:val="0"/>
      <w:marTop w:val="0"/>
      <w:marBottom w:val="0"/>
      <w:divBdr>
        <w:top w:val="none" w:sz="0" w:space="0" w:color="auto"/>
        <w:left w:val="none" w:sz="0" w:space="0" w:color="auto"/>
        <w:bottom w:val="none" w:sz="0" w:space="0" w:color="auto"/>
        <w:right w:val="none" w:sz="0" w:space="0" w:color="auto"/>
      </w:divBdr>
    </w:div>
    <w:div w:id="1840386572">
      <w:bodyDiv w:val="1"/>
      <w:marLeft w:val="0"/>
      <w:marRight w:val="0"/>
      <w:marTop w:val="0"/>
      <w:marBottom w:val="0"/>
      <w:divBdr>
        <w:top w:val="none" w:sz="0" w:space="0" w:color="auto"/>
        <w:left w:val="none" w:sz="0" w:space="0" w:color="auto"/>
        <w:bottom w:val="none" w:sz="0" w:space="0" w:color="auto"/>
        <w:right w:val="none" w:sz="0" w:space="0" w:color="auto"/>
      </w:divBdr>
    </w:div>
    <w:div w:id="1914390237">
      <w:bodyDiv w:val="1"/>
      <w:marLeft w:val="0"/>
      <w:marRight w:val="0"/>
      <w:marTop w:val="0"/>
      <w:marBottom w:val="0"/>
      <w:divBdr>
        <w:top w:val="none" w:sz="0" w:space="0" w:color="auto"/>
        <w:left w:val="none" w:sz="0" w:space="0" w:color="auto"/>
        <w:bottom w:val="none" w:sz="0" w:space="0" w:color="auto"/>
        <w:right w:val="none" w:sz="0" w:space="0" w:color="auto"/>
      </w:divBdr>
    </w:div>
    <w:div w:id="1934246074">
      <w:bodyDiv w:val="1"/>
      <w:marLeft w:val="0"/>
      <w:marRight w:val="0"/>
      <w:marTop w:val="0"/>
      <w:marBottom w:val="0"/>
      <w:divBdr>
        <w:top w:val="none" w:sz="0" w:space="0" w:color="auto"/>
        <w:left w:val="none" w:sz="0" w:space="0" w:color="auto"/>
        <w:bottom w:val="none" w:sz="0" w:space="0" w:color="auto"/>
        <w:right w:val="none" w:sz="0" w:space="0" w:color="auto"/>
      </w:divBdr>
    </w:div>
    <w:div w:id="2008288042">
      <w:bodyDiv w:val="1"/>
      <w:marLeft w:val="0"/>
      <w:marRight w:val="0"/>
      <w:marTop w:val="0"/>
      <w:marBottom w:val="0"/>
      <w:divBdr>
        <w:top w:val="none" w:sz="0" w:space="0" w:color="auto"/>
        <w:left w:val="none" w:sz="0" w:space="0" w:color="auto"/>
        <w:bottom w:val="none" w:sz="0" w:space="0" w:color="auto"/>
        <w:right w:val="none" w:sz="0" w:space="0" w:color="auto"/>
      </w:divBdr>
    </w:div>
    <w:div w:id="2098011307">
      <w:bodyDiv w:val="1"/>
      <w:marLeft w:val="0"/>
      <w:marRight w:val="0"/>
      <w:marTop w:val="0"/>
      <w:marBottom w:val="0"/>
      <w:divBdr>
        <w:top w:val="none" w:sz="0" w:space="0" w:color="auto"/>
        <w:left w:val="none" w:sz="0" w:space="0" w:color="auto"/>
        <w:bottom w:val="none" w:sz="0" w:space="0" w:color="auto"/>
        <w:right w:val="none" w:sz="0" w:space="0" w:color="auto"/>
      </w:divBdr>
    </w:div>
    <w:div w:id="2128355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acebook.com/RobisaIber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obisa.es/shop/123-hollyland"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obisa.es/hollyland/" TargetMode="External"/><Relationship Id="rId5" Type="http://schemas.openxmlformats.org/officeDocument/2006/relationships/numbering" Target="numbering.xml"/><Relationship Id="rId15" Type="http://schemas.openxmlformats.org/officeDocument/2006/relationships/hyperlink" Target="https://twitter.com/ROBISA"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tagram.com/robisa.es/"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robisa.es" TargetMode="External"/><Relationship Id="rId1" Type="http://schemas.openxmlformats.org/officeDocument/2006/relationships/hyperlink" Target="mailto:info@robisa.e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18A303"/>
      </a:accent1>
      <a:accent2>
        <a:srgbClr val="0369A3"/>
      </a:accent2>
      <a:accent3>
        <a:srgbClr val="A33E03"/>
      </a:accent3>
      <a:accent4>
        <a:srgbClr val="8E03A3"/>
      </a:accent4>
      <a:accent5>
        <a:srgbClr val="C99C00"/>
      </a:accent5>
      <a:accent6>
        <a:srgbClr val="C9211E"/>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noFill/>
          <a:miter lim="400000"/>
        </a:ln>
      </a:spPr>
      <a:bodyPr rot="0" spcFirstLastPara="1" vertOverflow="overflow" horzOverflow="overflow" vert="horz" wrap="square" lIns="45719" tIns="45719" rIns="45719" bIns="45719" numCol="1" spcCol="38100" rtlCol="0" anchor="ctr">
        <a:spAutoFit/>
      </a:bodyPr>
      <a:lstStyle/>
      <a:style>
        <a:lnRef idx="0">
          <a:srgbClr val="FFFFFF"/>
        </a:lnRef>
        <a:fillRef idx="0">
          <a:srgbClr val="FFFFFF"/>
        </a:fillRef>
        <a:effectRef idx="0">
          <a:srgbClr val="FFFFFF"/>
        </a:effectRef>
        <a:fontRef idx="none"/>
      </a:style>
    </a:spDef>
    <a:lnDef>
      <a:spPr>
        <a:noFill/>
        <a:ln w="12700" cap="flat">
          <a:noFill/>
          <a:miter lim="400000"/>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9" tIns="45719" rIns="45719" bIns="45719" numCol="1" spcCol="38100" rtlCol="0" anchor="t">
        <a:spAutoFit/>
      </a:bodyPr>
      <a:lstStyle/>
      <a:style>
        <a:lnRef idx="0">
          <a:srgbClr val="FFFFFF"/>
        </a:lnRef>
        <a:fillRef idx="0">
          <a:srgbClr val="FFFFFF"/>
        </a:fillRef>
        <a:effectRef idx="0">
          <a:srgbClr val="FFFFFF"/>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9b62a-f97d-4e27-8a79-b2c30228b78d">
      <Terms xmlns="http://schemas.microsoft.com/office/infopath/2007/PartnerControls"/>
    </lcf76f155ced4ddcb4097134ff3c332f>
    <i07687df2e2740ee8e2dfcf0c76d8e72 xmlns="d799b62a-f97d-4e27-8a79-b2c30228b78d">
      <Terms xmlns="http://schemas.microsoft.com/office/infopath/2007/PartnerControls"/>
    </i07687df2e2740ee8e2dfcf0c76d8e72>
    <TaxCatchAll xmlns="877e4dda-f991-41a3-84db-35a976faa0e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BE40F9E4686AAB4F8179A0674F8D61F5" ma:contentTypeVersion="21" ma:contentTypeDescription="Crear nuevo documento." ma:contentTypeScope="" ma:versionID="39e70b68d3ef74bad0ccb134c1c82e82">
  <xsd:schema xmlns:xsd="http://www.w3.org/2001/XMLSchema" xmlns:xs="http://www.w3.org/2001/XMLSchema" xmlns:p="http://schemas.microsoft.com/office/2006/metadata/properties" xmlns:ns2="d799b62a-f97d-4e27-8a79-b2c30228b78d" xmlns:ns3="877e4dda-f991-41a3-84db-35a976faa0ec" targetNamespace="http://schemas.microsoft.com/office/2006/metadata/properties" ma:root="true" ma:fieldsID="8454890b0c6b217bf3093983f4657f32" ns2:_="" ns3:_="">
    <xsd:import namespace="d799b62a-f97d-4e27-8a79-b2c30228b78d"/>
    <xsd:import namespace="877e4dda-f991-41a3-84db-35a976faa0e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i07687df2e2740ee8e2dfcf0c76d8e72"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b62a-f97d-4e27-8a79-b2c30228b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i07687df2e2740ee8e2dfcf0c76d8e72" ma:index="22" nillable="true" ma:taxonomy="true" ma:internalName="i07687df2e2740ee8e2dfcf0c76d8e72" ma:taxonomyFieldName="Peso_x0020_archivo" ma:displayName="Peso archivo" ma:fieldId="{207687df-2e27-40ee-8e2d-fcf0c76d8e72}"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lcf76f155ced4ddcb4097134ff3c332f" ma:index="25" nillable="true" ma:taxonomy="true" ma:internalName="lcf76f155ced4ddcb4097134ff3c332f" ma:taxonomyFieldName="MediaServiceImageTags" ma:displayName="Etiquetas de imagen" ma:readOnly="false" ma:fieldId="{5cf76f15-5ced-4ddc-b409-7134ff3c332f}" ma:taxonomyMulti="true" ma:sspId="c51a795c-52f1-48ed-bb64-e1ccb2f5122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7e4dda-f991-41a3-84db-35a976faa0ec"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cac94cf2-18e6-4cf2-9f86-44ec96301953}" ma:internalName="TaxCatchAll" ma:showField="CatchAllData" ma:web="877e4dda-f991-41a3-84db-35a976faa0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114428-E459-435F-9029-E38A0DBB0B49}">
  <ds:schemaRefs>
    <ds:schemaRef ds:uri="http://schemas.microsoft.com/office/2006/metadata/properties"/>
    <ds:schemaRef ds:uri="http://schemas.microsoft.com/office/infopath/2007/PartnerControls"/>
    <ds:schemaRef ds:uri="d799b62a-f97d-4e27-8a79-b2c30228b78d"/>
    <ds:schemaRef ds:uri="877e4dda-f991-41a3-84db-35a976faa0ec"/>
  </ds:schemaRefs>
</ds:datastoreItem>
</file>

<file path=customXml/itemProps2.xml><?xml version="1.0" encoding="utf-8"?>
<ds:datastoreItem xmlns:ds="http://schemas.openxmlformats.org/officeDocument/2006/customXml" ds:itemID="{0A7043A1-04A8-4F12-A012-2255D3984467}">
  <ds:schemaRefs>
    <ds:schemaRef ds:uri="http://schemas.microsoft.com/sharepoint/v3/contenttype/forms"/>
  </ds:schemaRefs>
</ds:datastoreItem>
</file>

<file path=customXml/itemProps3.xml><?xml version="1.0" encoding="utf-8"?>
<ds:datastoreItem xmlns:ds="http://schemas.openxmlformats.org/officeDocument/2006/customXml" ds:itemID="{75433817-0108-4DD6-83CC-CD38EC6C5957}">
  <ds:schemaRefs>
    <ds:schemaRef ds:uri="http://schemas.openxmlformats.org/officeDocument/2006/bibliography"/>
  </ds:schemaRefs>
</ds:datastoreItem>
</file>

<file path=customXml/itemProps4.xml><?xml version="1.0" encoding="utf-8"?>
<ds:datastoreItem xmlns:ds="http://schemas.openxmlformats.org/officeDocument/2006/customXml" ds:itemID="{5E210F5D-E9FD-478C-9E28-B6BABFAF97EA}"/>
</file>

<file path=docProps/app.xml><?xml version="1.0" encoding="utf-8"?>
<Properties xmlns="http://schemas.openxmlformats.org/officeDocument/2006/extended-properties" xmlns:vt="http://schemas.openxmlformats.org/officeDocument/2006/docPropsVTypes">
  <Template>Normal</Template>
  <TotalTime>523</TotalTime>
  <Pages>3</Pages>
  <Words>911</Words>
  <Characters>5011</Characters>
  <Application>Microsoft Office Word</Application>
  <DocSecurity>0</DocSecurity>
  <Lines>41</Lines>
  <Paragraphs>11</Paragraphs>
  <ScaleCrop>false</ScaleCrop>
  <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hollyland</dc:creator>
  <cp:lastModifiedBy>Andrea Velez</cp:lastModifiedBy>
  <cp:revision>92</cp:revision>
  <dcterms:created xsi:type="dcterms:W3CDTF">2025-06-30T10:51:00Z</dcterms:created>
  <dcterms:modified xsi:type="dcterms:W3CDTF">2026-07-16T12:26:00Z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24E9E17ABF6549679D3A4D93F47CD6B1_13</vt:lpwstr>
  </property>
  <property fmtid="{D5CDD505-2E9C-101B-9397-08002B2CF9AE}" pid="4" name="ContentTypeId">
    <vt:lpwstr>0x010100BE40F9E4686AAB4F8179A0674F8D61F5</vt:lpwstr>
  </property>
  <property fmtid="{D5CDD505-2E9C-101B-9397-08002B2CF9AE}" pid="5" name="MediaServiceImageTags">
    <vt:lpwstr/>
  </property>
  <property fmtid="{D5CDD505-2E9C-101B-9397-08002B2CF9AE}" pid="6" name="Peso archivo">
    <vt:lpwstr/>
  </property>
  <property fmtid="{D5CDD505-2E9C-101B-9397-08002B2CF9AE}" pid="7" name="Peso_x0020_archivo">
    <vt:lpwstr/>
  </property>
</Properties>
</file>